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16AD" w:rsidRPr="00F616AD" w:rsidRDefault="00F616AD" w:rsidP="00F616AD">
      <w:pPr>
        <w:tabs>
          <w:tab w:val="left" w:pos="1005"/>
          <w:tab w:val="center" w:pos="4759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3657600</wp:posOffset>
                </wp:positionV>
                <wp:extent cx="5019675" cy="1152525"/>
                <wp:effectExtent l="0" t="0" r="0" b="9525"/>
                <wp:wrapSquare wrapText="bothSides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Default="00F616AD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Pr="00AC735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NFORME </w:t>
                            </w:r>
                            <w:r w:rsidR="0045470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SEGUIMIENTO </w:t>
                            </w:r>
                            <w:r w:rsidR="00BF5F4D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COMITÉ DE CONCILIACIÓN</w:t>
                            </w: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616AD" w:rsidRDefault="00F616AD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Periodo: </w:t>
                            </w:r>
                            <w:r w:rsidR="00BF5F4D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Enero - Diciembre</w:t>
                            </w:r>
                            <w:r w:rsidR="0045470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de 2015</w:t>
                            </w:r>
                          </w:p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117pt;margin-top:4in;width:395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" filled="f" stroked="f">
                <v:path arrowok="t"/>
                <v:textbox>
                  <w:txbxContent>
                    <w:p w:rsidR="00F616AD" w:rsidRDefault="00F616AD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I</w:t>
                      </w:r>
                      <w:r w:rsidRPr="00AC735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NFORME </w:t>
                      </w:r>
                      <w:r w:rsidR="0045470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SEGUIMIENTO </w:t>
                      </w:r>
                      <w:r w:rsidR="00BF5F4D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COMITÉ DE CONCILIACIÓN</w:t>
                      </w: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616AD" w:rsidRDefault="00F616AD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Periodo: </w:t>
                      </w:r>
                      <w:r w:rsidR="00BF5F4D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Enero - Diciembre</w:t>
                      </w:r>
                      <w:r w:rsidR="0045470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de 2015</w:t>
                      </w:r>
                    </w:p>
                    <w:p w:rsidR="00F616AD" w:rsidRPr="007B4F82" w:rsidRDefault="00F616A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8129270</wp:posOffset>
                </wp:positionV>
                <wp:extent cx="5372100" cy="1028700"/>
                <wp:effectExtent l="0" t="0" r="0" b="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Pr="007B4F82" w:rsidRDefault="00F616AD" w:rsidP="00F616AD">
                            <w:pPr>
                              <w:ind w:left="4248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t>Oficina de Control Interno</w:t>
                            </w:r>
                            <w:r w:rsidRPr="007B4F82"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br/>
                            </w:r>
                            <w:r w:rsidRPr="003C100B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Bogotá, </w:t>
                            </w:r>
                            <w:r w:rsidR="00BF5F4D">
                              <w:rPr>
                                <w:rFonts w:ascii="Futura Std Book" w:hAnsi="Futura Std Book"/>
                                <w:color w:val="7F7F7F"/>
                              </w:rPr>
                              <w:t>Febrero</w:t>
                            </w:r>
                            <w:r w:rsidR="00D11798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26" o:spid="_x0000_s1027" type="#_x0000_t202" style="position:absolute;margin-left:45pt;margin-top:640.1pt;width:42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" filled="f" stroked="f">
                <v:path arrowok="t"/>
                <v:textbox>
                  <w:txbxContent>
                    <w:p w:rsidR="00F616AD" w:rsidRPr="007B4F82" w:rsidRDefault="00F616AD" w:rsidP="00F616AD">
                      <w:pPr>
                        <w:ind w:left="4248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t>Oficina de Control Interno</w:t>
                      </w:r>
                      <w:r w:rsidRPr="007B4F82"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br/>
                      </w:r>
                      <w:r w:rsidRPr="003C100B">
                        <w:rPr>
                          <w:rFonts w:ascii="Futura Std Book" w:hAnsi="Futura Std Book"/>
                          <w:color w:val="7F7F7F"/>
                        </w:rPr>
                        <w:t xml:space="preserve">Bogotá, </w:t>
                      </w:r>
                      <w:r w:rsidR="00BF5F4D">
                        <w:rPr>
                          <w:rFonts w:ascii="Futura Std Book" w:hAnsi="Futura Std Book"/>
                          <w:color w:val="7F7F7F"/>
                        </w:rPr>
                        <w:t>Febrero</w:t>
                      </w:r>
                      <w:r w:rsidR="00D11798">
                        <w:rPr>
                          <w:rFonts w:ascii="Futura Std Book" w:hAnsi="Futura Std Book"/>
                          <w:color w:val="7F7F7F"/>
                        </w:rPr>
                        <w:t xml:space="preserve">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w:drawing>
          <wp:inline distT="0" distB="0" distL="0" distR="0">
            <wp:extent cx="7858125" cy="101727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4572000" cy="800100"/>
                <wp:effectExtent l="0" t="0" r="0" b="0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Book" w:hAnsi="Futura Std Book"/>
                                <w:color w:val="7F7F7F"/>
                                <w:sz w:val="36"/>
                                <w:szCs w:val="36"/>
                              </w:rPr>
                            </w:pPr>
                          </w:p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  <w:t>Periodo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25" o:spid="_x0000_s1028" type="#_x0000_t202" style="position:absolute;margin-left:117pt;margin-top:40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" filled="f" stroked="f">
                <v:path arrowok="t"/>
                <v:textbox>
                  <w:txbxContent>
                    <w:p w:rsidR="00F616AD" w:rsidRPr="007B4F82" w:rsidRDefault="00F616AD" w:rsidP="00F616AD">
                      <w:pPr>
                        <w:jc w:val="right"/>
                        <w:rPr>
                          <w:rFonts w:ascii="Futura Std Book" w:hAnsi="Futura Std Book"/>
                          <w:color w:val="7F7F7F"/>
                          <w:sz w:val="36"/>
                          <w:szCs w:val="36"/>
                        </w:rPr>
                      </w:pPr>
                    </w:p>
                    <w:p w:rsidR="00F616AD" w:rsidRPr="007B4F82" w:rsidRDefault="00F616A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  <w:t>Periodo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5F4D" w:rsidRPr="00944189" w:rsidRDefault="00BF5F4D" w:rsidP="00BF5F4D">
      <w:pPr>
        <w:jc w:val="center"/>
        <w:rPr>
          <w:rFonts w:ascii="Arial" w:hAnsi="Arial" w:cs="Arial"/>
          <w:b/>
          <w:sz w:val="20"/>
          <w:szCs w:val="20"/>
        </w:rPr>
      </w:pPr>
      <w:r w:rsidRPr="00944189">
        <w:rPr>
          <w:rFonts w:ascii="Arial" w:hAnsi="Arial" w:cs="Arial"/>
          <w:b/>
          <w:sz w:val="20"/>
          <w:szCs w:val="20"/>
        </w:rPr>
        <w:lastRenderedPageBreak/>
        <w:t xml:space="preserve">SEGUIMIENTO </w:t>
      </w:r>
      <w:r>
        <w:rPr>
          <w:rFonts w:ascii="Arial" w:hAnsi="Arial" w:cs="Arial"/>
          <w:b/>
          <w:sz w:val="20"/>
          <w:szCs w:val="20"/>
        </w:rPr>
        <w:t xml:space="preserve">COMITÉ DE CONCILIACIÓN Y DEFENSA JUDICIAL PERIODO ENERO - DICIEMBRE DE </w:t>
      </w:r>
      <w:r w:rsidRPr="00944189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5</w:t>
      </w:r>
    </w:p>
    <w:p w:rsidR="00BF5F4D" w:rsidRPr="00570A57" w:rsidRDefault="00BF5F4D" w:rsidP="00BF5F4D">
      <w:pPr>
        <w:jc w:val="both"/>
        <w:rPr>
          <w:rFonts w:ascii="Arial" w:hAnsi="Arial" w:cs="Arial"/>
          <w:sz w:val="20"/>
          <w:szCs w:val="20"/>
        </w:rPr>
      </w:pPr>
      <w:r w:rsidRPr="00570A57">
        <w:rPr>
          <w:rFonts w:ascii="Arial" w:hAnsi="Arial" w:cs="Arial"/>
          <w:sz w:val="20"/>
          <w:szCs w:val="20"/>
        </w:rPr>
        <w:t>En cumplimiento del Rol de Seguimiento y Evaluación asignado a las Oficinas de Control Interno, y lo dispuesto en el Decreto 1</w:t>
      </w:r>
      <w:r w:rsidR="008E7755">
        <w:rPr>
          <w:rFonts w:ascii="Arial" w:hAnsi="Arial" w:cs="Arial"/>
          <w:sz w:val="20"/>
          <w:szCs w:val="20"/>
        </w:rPr>
        <w:t>069 de 2015</w:t>
      </w:r>
      <w:r w:rsidRPr="00570A57">
        <w:rPr>
          <w:rFonts w:ascii="Arial" w:hAnsi="Arial" w:cs="Arial"/>
          <w:sz w:val="20"/>
          <w:szCs w:val="20"/>
        </w:rPr>
        <w:t xml:space="preserve"> Articulo 2</w:t>
      </w:r>
      <w:r w:rsidR="008E7755">
        <w:rPr>
          <w:rFonts w:ascii="Arial" w:hAnsi="Arial" w:cs="Arial"/>
          <w:sz w:val="20"/>
          <w:szCs w:val="20"/>
        </w:rPr>
        <w:t xml:space="preserve">.2.4.3.1.2.12 </w:t>
      </w:r>
      <w:r w:rsidRPr="00570A57">
        <w:rPr>
          <w:rFonts w:ascii="Arial" w:hAnsi="Arial" w:cs="Arial"/>
          <w:sz w:val="20"/>
          <w:szCs w:val="20"/>
        </w:rPr>
        <w:t xml:space="preserve">que prescribe: “De la acción de repetición… </w:t>
      </w:r>
      <w:r w:rsidRPr="00570A57">
        <w:rPr>
          <w:rFonts w:ascii="Arial" w:hAnsi="Arial" w:cs="Arial"/>
          <w:b/>
          <w:sz w:val="20"/>
          <w:szCs w:val="20"/>
        </w:rPr>
        <w:t>Parágrafo único. La Oficina de Control Interno de las entidades o quien haga sus veces, deberá verificar el cumplimiento de las obligaciones contenidas en este artículo</w:t>
      </w:r>
      <w:r w:rsidRPr="00570A57">
        <w:rPr>
          <w:rFonts w:ascii="Arial" w:hAnsi="Arial" w:cs="Arial"/>
          <w:sz w:val="20"/>
          <w:szCs w:val="20"/>
        </w:rPr>
        <w:t>”; se presentan los resultados del seguimiento al Comité de Conciliación y Defensa Judicial del Departamento, el cual incluye:</w:t>
      </w:r>
    </w:p>
    <w:p w:rsidR="00BF5F4D" w:rsidRPr="006A0850" w:rsidRDefault="00BF5F4D" w:rsidP="00BF5F4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A0850">
        <w:rPr>
          <w:rFonts w:ascii="Arial" w:hAnsi="Arial" w:cs="Arial"/>
          <w:sz w:val="20"/>
          <w:szCs w:val="20"/>
        </w:rPr>
        <w:t xml:space="preserve"> Oportunidad de la acción de repetición</w:t>
      </w:r>
      <w:r>
        <w:rPr>
          <w:rFonts w:ascii="Arial" w:hAnsi="Arial" w:cs="Arial"/>
          <w:sz w:val="20"/>
          <w:szCs w:val="20"/>
        </w:rPr>
        <w:t xml:space="preserve"> (Art. </w:t>
      </w:r>
      <w:r w:rsidR="008E7755" w:rsidRPr="00570A57">
        <w:rPr>
          <w:rFonts w:ascii="Arial" w:hAnsi="Arial" w:cs="Arial"/>
          <w:sz w:val="20"/>
          <w:szCs w:val="20"/>
        </w:rPr>
        <w:t>2</w:t>
      </w:r>
      <w:r w:rsidR="008E7755">
        <w:rPr>
          <w:rFonts w:ascii="Arial" w:hAnsi="Arial" w:cs="Arial"/>
          <w:sz w:val="20"/>
          <w:szCs w:val="20"/>
        </w:rPr>
        <w:t>.2.4.3.1.2.12  Dto. 10</w:t>
      </w:r>
      <w:r>
        <w:rPr>
          <w:rFonts w:ascii="Arial" w:hAnsi="Arial" w:cs="Arial"/>
          <w:sz w:val="20"/>
          <w:szCs w:val="20"/>
        </w:rPr>
        <w:t>6</w:t>
      </w:r>
      <w:r w:rsidR="008E775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</w:t>
      </w:r>
      <w:r w:rsidR="008E775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)</w:t>
      </w:r>
    </w:p>
    <w:p w:rsidR="00BF5F4D" w:rsidRDefault="00BF5F4D" w:rsidP="00BF5F4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A0850">
        <w:rPr>
          <w:rFonts w:ascii="Arial" w:hAnsi="Arial" w:cs="Arial"/>
          <w:sz w:val="20"/>
          <w:szCs w:val="20"/>
        </w:rPr>
        <w:t>umplimiento de las funciones de los integrantes del Comité</w:t>
      </w:r>
    </w:p>
    <w:p w:rsidR="00BF5F4D" w:rsidRDefault="00BF5F4D" w:rsidP="00BF5F4D">
      <w:pPr>
        <w:jc w:val="both"/>
        <w:rPr>
          <w:rFonts w:ascii="Arial" w:hAnsi="Arial" w:cs="Arial"/>
          <w:sz w:val="20"/>
          <w:szCs w:val="20"/>
        </w:rPr>
      </w:pPr>
      <w:r w:rsidRPr="002F728B">
        <w:rPr>
          <w:rFonts w:ascii="Arial" w:hAnsi="Arial" w:cs="Arial"/>
          <w:sz w:val="20"/>
          <w:szCs w:val="20"/>
        </w:rPr>
        <w:t>A continuación se desarrollan los ítems enunciados:</w:t>
      </w:r>
    </w:p>
    <w:p w:rsidR="00BF5F4D" w:rsidRDefault="00BF5F4D" w:rsidP="00BF5F4D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22220">
        <w:rPr>
          <w:rFonts w:ascii="Arial" w:hAnsi="Arial" w:cs="Arial"/>
          <w:b/>
          <w:sz w:val="20"/>
          <w:szCs w:val="20"/>
        </w:rPr>
        <w:t>Oportunidad de la acción de repetición</w:t>
      </w:r>
    </w:p>
    <w:p w:rsidR="00BF5F4D" w:rsidRPr="0054146B" w:rsidRDefault="00BF5F4D" w:rsidP="00BF5F4D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54146B">
        <w:rPr>
          <w:rFonts w:ascii="Arial" w:hAnsi="Arial" w:cs="Arial"/>
          <w:sz w:val="20"/>
          <w:szCs w:val="20"/>
        </w:rPr>
        <w:t xml:space="preserve">Proceso Ordinario Laboral </w:t>
      </w:r>
    </w:p>
    <w:p w:rsidR="00BF5F4D" w:rsidRPr="0054146B" w:rsidRDefault="00BF5F4D" w:rsidP="00BF5F4D">
      <w:pPr>
        <w:ind w:left="720"/>
        <w:jc w:val="both"/>
        <w:rPr>
          <w:rFonts w:ascii="Arial" w:hAnsi="Arial" w:cs="Arial"/>
          <w:sz w:val="20"/>
          <w:szCs w:val="20"/>
        </w:rPr>
      </w:pPr>
      <w:r w:rsidRPr="0054146B">
        <w:rPr>
          <w:rFonts w:ascii="Arial" w:hAnsi="Arial" w:cs="Arial"/>
          <w:sz w:val="20"/>
          <w:szCs w:val="20"/>
        </w:rPr>
        <w:t>Demandante: MARIA DEL CARMEN BERM</w:t>
      </w:r>
      <w:r w:rsidR="00DC6679">
        <w:rPr>
          <w:rFonts w:ascii="Arial" w:hAnsi="Arial" w:cs="Arial"/>
          <w:sz w:val="20"/>
          <w:szCs w:val="20"/>
        </w:rPr>
        <w:t>Ú</w:t>
      </w:r>
      <w:r w:rsidRPr="0054146B">
        <w:rPr>
          <w:rFonts w:ascii="Arial" w:hAnsi="Arial" w:cs="Arial"/>
          <w:sz w:val="20"/>
          <w:szCs w:val="20"/>
        </w:rPr>
        <w:t>DEZ</w:t>
      </w:r>
    </w:p>
    <w:p w:rsidR="00BF5F4D" w:rsidRPr="0054146B" w:rsidRDefault="00BF5F4D" w:rsidP="00BF5F4D">
      <w:pPr>
        <w:ind w:left="720"/>
        <w:jc w:val="both"/>
        <w:rPr>
          <w:rFonts w:ascii="Arial" w:hAnsi="Arial" w:cs="Arial"/>
          <w:sz w:val="20"/>
          <w:szCs w:val="20"/>
        </w:rPr>
      </w:pPr>
      <w:r w:rsidRPr="0054146B">
        <w:rPr>
          <w:rFonts w:ascii="Arial" w:hAnsi="Arial" w:cs="Arial"/>
          <w:sz w:val="20"/>
          <w:szCs w:val="20"/>
        </w:rPr>
        <w:t>Demandado: DEPARTAMENTO ADMINISTRATIVO DE LA FUNCIÓN PÚBLICA</w:t>
      </w:r>
    </w:p>
    <w:p w:rsidR="00BF5F4D" w:rsidRPr="0054146B" w:rsidRDefault="00BF5F4D" w:rsidP="00BF5F4D">
      <w:pPr>
        <w:ind w:left="720"/>
        <w:rPr>
          <w:rFonts w:ascii="Arial" w:hAnsi="Arial" w:cs="Arial"/>
          <w:sz w:val="20"/>
          <w:szCs w:val="20"/>
        </w:rPr>
      </w:pPr>
      <w:r w:rsidRPr="0054146B">
        <w:rPr>
          <w:rFonts w:ascii="Arial" w:hAnsi="Arial" w:cs="Arial"/>
          <w:sz w:val="20"/>
          <w:szCs w:val="20"/>
        </w:rPr>
        <w:t>Valor Pagado: TREINTA Y CUATRO MILLONES CUATROCIENTOS NOVENTA Y DOS MIL DOSCIENTOS CUARENTA Y NUEVE PESOS  ($34.492.249).</w:t>
      </w:r>
    </w:p>
    <w:p w:rsidR="00BF5F4D" w:rsidRDefault="00BF5F4D" w:rsidP="00BF5F4D">
      <w:pPr>
        <w:ind w:left="720"/>
        <w:rPr>
          <w:rFonts w:ascii="Arial" w:hAnsi="Arial" w:cs="Arial"/>
          <w:sz w:val="20"/>
          <w:szCs w:val="20"/>
        </w:rPr>
      </w:pPr>
      <w:r w:rsidRPr="0054146B">
        <w:rPr>
          <w:rFonts w:ascii="Arial" w:hAnsi="Arial" w:cs="Arial"/>
          <w:sz w:val="20"/>
          <w:szCs w:val="20"/>
        </w:rPr>
        <w:t>Fecha de pago: 8 de octubre de 2014.</w:t>
      </w:r>
    </w:p>
    <w:p w:rsidR="008E7755" w:rsidRDefault="008E7755" w:rsidP="00BF5F4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estudio por el Comité: 7 de abril de 2015</w:t>
      </w:r>
    </w:p>
    <w:p w:rsidR="004541F8" w:rsidRDefault="004541F8" w:rsidP="00BF5F4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Decisión: No iniciar acción de repetición (Acta No. 009)</w:t>
      </w:r>
    </w:p>
    <w:p w:rsidR="008E7755" w:rsidRPr="008E7755" w:rsidRDefault="008E7755" w:rsidP="008E7755">
      <w:pPr>
        <w:pStyle w:val="Prrafodelista"/>
        <w:numPr>
          <w:ilvl w:val="0"/>
          <w:numId w:val="1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Procedimiento Administrativo (Error en bases de liquidación de seguridad social)</w:t>
      </w:r>
    </w:p>
    <w:p w:rsidR="008E7755" w:rsidRDefault="008E7755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8E7755" w:rsidRDefault="008E7755" w:rsidP="008E7755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 de </w:t>
      </w:r>
      <w:r w:rsidR="004541F8">
        <w:rPr>
          <w:rFonts w:ascii="Arial" w:hAnsi="Arial" w:cs="Arial"/>
          <w:sz w:val="20"/>
          <w:szCs w:val="20"/>
        </w:rPr>
        <w:t>Gestión Pensional y Parafiscales</w:t>
      </w:r>
    </w:p>
    <w:p w:rsidR="004541F8" w:rsidRPr="008E7755" w:rsidRDefault="004541F8" w:rsidP="008E7755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8E7755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pagado: VEINTICINCO MILLONES CUATROCIENTOS CINCUENTA Y DOS MIL NOVECIENTOS PESOS ($</w:t>
      </w:r>
      <w:r w:rsidR="008E7755" w:rsidRPr="008E7755">
        <w:rPr>
          <w:rFonts w:ascii="Arial" w:hAnsi="Arial" w:cs="Arial"/>
          <w:sz w:val="20"/>
          <w:szCs w:val="20"/>
        </w:rPr>
        <w:t>25.452.900</w:t>
      </w:r>
      <w:r>
        <w:rPr>
          <w:rFonts w:ascii="Arial" w:hAnsi="Arial" w:cs="Arial"/>
          <w:sz w:val="20"/>
          <w:szCs w:val="20"/>
        </w:rPr>
        <w:t>)</w:t>
      </w: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pago: 16 de febrero de 2015</w:t>
      </w: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estudio por el Comité: 14 de agosto de 2015</w:t>
      </w: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  <w:r w:rsidRPr="004541F8">
        <w:rPr>
          <w:rFonts w:ascii="Arial" w:hAnsi="Arial" w:cs="Arial"/>
          <w:sz w:val="20"/>
          <w:szCs w:val="20"/>
        </w:rPr>
        <w:t>Decisión: No iniciar acción de repetición (Acta No. 0</w:t>
      </w:r>
      <w:r>
        <w:rPr>
          <w:rFonts w:ascii="Arial" w:hAnsi="Arial" w:cs="Arial"/>
          <w:sz w:val="20"/>
          <w:szCs w:val="20"/>
        </w:rPr>
        <w:t>17</w:t>
      </w:r>
      <w:r w:rsidRPr="004541F8">
        <w:rPr>
          <w:rFonts w:ascii="Arial" w:hAnsi="Arial" w:cs="Arial"/>
          <w:sz w:val="20"/>
          <w:szCs w:val="20"/>
        </w:rPr>
        <w:t>)</w:t>
      </w:r>
    </w:p>
    <w:p w:rsidR="004541F8" w:rsidRPr="00DC6679" w:rsidRDefault="004541F8" w:rsidP="004541F8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C6679">
        <w:rPr>
          <w:rFonts w:ascii="Arial" w:hAnsi="Arial" w:cs="Arial"/>
          <w:b/>
          <w:i/>
          <w:sz w:val="20"/>
          <w:szCs w:val="20"/>
          <w:u w:val="single"/>
        </w:rPr>
        <w:t>En ambos procesos se dio cumplimiento a los términos señalados en el Decreto.</w:t>
      </w:r>
    </w:p>
    <w:p w:rsidR="004541F8" w:rsidRDefault="004541F8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417B3C" w:rsidRDefault="00417B3C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417B3C" w:rsidRDefault="00417B3C" w:rsidP="008E7755">
      <w:pPr>
        <w:pStyle w:val="Prrafodelista"/>
        <w:rPr>
          <w:rFonts w:ascii="Arial" w:hAnsi="Arial" w:cs="Arial"/>
          <w:sz w:val="20"/>
          <w:szCs w:val="20"/>
        </w:rPr>
      </w:pPr>
    </w:p>
    <w:p w:rsidR="008E7755" w:rsidRPr="008E7755" w:rsidRDefault="008E7755" w:rsidP="008E7755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BF5F4D" w:rsidRPr="00EA5CF0" w:rsidRDefault="00BF5F4D" w:rsidP="00BF5F4D">
      <w:pPr>
        <w:numPr>
          <w:ilvl w:val="0"/>
          <w:numId w:val="8"/>
        </w:numPr>
        <w:jc w:val="both"/>
        <w:rPr>
          <w:rFonts w:cs="Calibri"/>
          <w:b/>
        </w:rPr>
      </w:pPr>
      <w:r w:rsidRPr="00EA5CF0">
        <w:rPr>
          <w:rFonts w:cs="Calibri"/>
          <w:b/>
        </w:rPr>
        <w:lastRenderedPageBreak/>
        <w:t>Cumplimiento de las funciones de los integrantes del Comité:</w:t>
      </w:r>
    </w:p>
    <w:p w:rsidR="00BF5F4D" w:rsidRDefault="00BF5F4D" w:rsidP="00BF5F4D">
      <w:pPr>
        <w:jc w:val="both"/>
        <w:rPr>
          <w:rFonts w:cs="Calibri"/>
        </w:rPr>
      </w:pPr>
      <w:r>
        <w:rPr>
          <w:rFonts w:cs="Calibri"/>
        </w:rPr>
        <w:t xml:space="preserve">De acuerdo a lo dispuesto en </w:t>
      </w:r>
      <w:r w:rsidRPr="00EA5CF0">
        <w:rPr>
          <w:rFonts w:cs="Calibri"/>
        </w:rPr>
        <w:t xml:space="preserve">el Decreto </w:t>
      </w:r>
      <w:r w:rsidR="004541F8">
        <w:rPr>
          <w:rFonts w:cs="Calibri"/>
        </w:rPr>
        <w:t>1069</w:t>
      </w:r>
      <w:r w:rsidRPr="00EA5CF0">
        <w:rPr>
          <w:rFonts w:cs="Calibri"/>
        </w:rPr>
        <w:t>/</w:t>
      </w:r>
      <w:r w:rsidR="004541F8">
        <w:rPr>
          <w:rFonts w:cs="Calibri"/>
        </w:rPr>
        <w:t>2015</w:t>
      </w:r>
      <w:r w:rsidRPr="00EA5CF0">
        <w:rPr>
          <w:rFonts w:cs="Calibri"/>
        </w:rPr>
        <w:t xml:space="preserve"> y la Resolución 488/2009</w:t>
      </w:r>
      <w:r>
        <w:rPr>
          <w:rFonts w:cs="Calibri"/>
        </w:rPr>
        <w:t xml:space="preserve"> </w:t>
      </w:r>
      <w:r w:rsidR="00DC6679">
        <w:rPr>
          <w:rFonts w:cs="Calibri"/>
        </w:rPr>
        <w:t>de la Función Pública</w:t>
      </w:r>
      <w:r w:rsidRPr="00EA5CF0">
        <w:rPr>
          <w:rFonts w:cs="Calibri"/>
        </w:rPr>
        <w:t xml:space="preserve">, frente al funcionamiento del Comité de Conciliación debemos señalar lo siguiente: </w:t>
      </w:r>
    </w:p>
    <w:p w:rsidR="00BF5F4D" w:rsidRPr="00454E72" w:rsidRDefault="00BF5F4D" w:rsidP="00BF5F4D">
      <w:pPr>
        <w:numPr>
          <w:ilvl w:val="0"/>
          <w:numId w:val="9"/>
        </w:numPr>
        <w:jc w:val="both"/>
        <w:rPr>
          <w:rFonts w:cs="Calibri"/>
          <w:i/>
        </w:rPr>
      </w:pPr>
      <w:r w:rsidRPr="00454E72">
        <w:rPr>
          <w:rFonts w:cs="Calibri"/>
          <w:i/>
        </w:rPr>
        <w:t>Reuniones</w:t>
      </w:r>
    </w:p>
    <w:p w:rsidR="00BF5F4D" w:rsidRDefault="00BF5F4D" w:rsidP="00BF5F4D">
      <w:pPr>
        <w:jc w:val="both"/>
        <w:rPr>
          <w:rFonts w:cs="Calibri"/>
        </w:rPr>
      </w:pPr>
      <w:r>
        <w:rPr>
          <w:rFonts w:cs="Calibri"/>
        </w:rPr>
        <w:t>Durante el año 201</w:t>
      </w:r>
      <w:r w:rsidR="004541F8">
        <w:rPr>
          <w:rFonts w:cs="Calibri"/>
        </w:rPr>
        <w:t>5</w:t>
      </w:r>
      <w:r w:rsidRPr="00EA5CF0">
        <w:rPr>
          <w:rFonts w:cs="Calibri"/>
        </w:rPr>
        <w:t xml:space="preserve"> se efectua</w:t>
      </w:r>
      <w:r>
        <w:rPr>
          <w:rFonts w:cs="Calibri"/>
        </w:rPr>
        <w:t>ron</w:t>
      </w:r>
      <w:r w:rsidRPr="00EA5CF0">
        <w:rPr>
          <w:rFonts w:cs="Calibri"/>
        </w:rPr>
        <w:t xml:space="preserve"> las </w:t>
      </w:r>
      <w:r>
        <w:rPr>
          <w:rFonts w:cs="Calibri"/>
        </w:rPr>
        <w:t>r</w:t>
      </w:r>
      <w:r w:rsidRPr="00EA5CF0">
        <w:rPr>
          <w:rFonts w:cs="Calibri"/>
        </w:rPr>
        <w:t>euniones</w:t>
      </w:r>
      <w:r>
        <w:rPr>
          <w:rFonts w:cs="Calibri"/>
        </w:rPr>
        <w:t>,</w:t>
      </w:r>
      <w:r w:rsidRPr="00EA5CF0">
        <w:rPr>
          <w:rFonts w:cs="Calibri"/>
        </w:rPr>
        <w:t xml:space="preserve"> c</w:t>
      </w:r>
      <w:r>
        <w:rPr>
          <w:rFonts w:cs="Calibri"/>
        </w:rPr>
        <w:t>umpliendo</w:t>
      </w:r>
      <w:r w:rsidRPr="00EA5CF0">
        <w:rPr>
          <w:rFonts w:cs="Calibri"/>
        </w:rPr>
        <w:t xml:space="preserve"> con el quórum necesario para desarrollar las funciones propias del Comité.</w:t>
      </w:r>
    </w:p>
    <w:p w:rsidR="004541F8" w:rsidRDefault="004541F8" w:rsidP="00BF5F4D">
      <w:pPr>
        <w:jc w:val="both"/>
        <w:rPr>
          <w:rFonts w:cs="Calibri"/>
        </w:rPr>
      </w:pPr>
      <w:r>
        <w:rPr>
          <w:rFonts w:cs="Calibri"/>
        </w:rPr>
        <w:t>Así mismo mediante Resolución No. 115 de 2015</w:t>
      </w:r>
      <w:r w:rsidR="001D38B7">
        <w:rPr>
          <w:rFonts w:cs="Calibri"/>
        </w:rPr>
        <w:t xml:space="preserve"> (Función Pública),</w:t>
      </w:r>
      <w:r>
        <w:rPr>
          <w:rFonts w:cs="Calibri"/>
        </w:rPr>
        <w:t xml:space="preserve"> </w:t>
      </w:r>
      <w:r w:rsidR="001D38B7">
        <w:rPr>
          <w:rFonts w:cs="Calibri"/>
        </w:rPr>
        <w:t>s</w:t>
      </w:r>
      <w:r>
        <w:rPr>
          <w:rFonts w:cs="Calibri"/>
        </w:rPr>
        <w:t>e adopt</w:t>
      </w:r>
      <w:r w:rsidR="001D38B7">
        <w:rPr>
          <w:rFonts w:cs="Calibri"/>
        </w:rPr>
        <w:t>ó</w:t>
      </w:r>
      <w:r>
        <w:rPr>
          <w:rFonts w:cs="Calibri"/>
        </w:rPr>
        <w:t xml:space="preserve"> el procedimiento para las sesiones virtuales del Comité. </w:t>
      </w:r>
    </w:p>
    <w:p w:rsidR="00BF5F4D" w:rsidRPr="00454E72" w:rsidRDefault="00BF5F4D" w:rsidP="00F57AA7">
      <w:pPr>
        <w:numPr>
          <w:ilvl w:val="0"/>
          <w:numId w:val="9"/>
        </w:numPr>
        <w:jc w:val="both"/>
        <w:rPr>
          <w:rFonts w:cs="Calibri"/>
          <w:i/>
        </w:rPr>
      </w:pPr>
      <w:r w:rsidRPr="00454E72">
        <w:rPr>
          <w:rFonts w:cs="Calibri"/>
          <w:i/>
        </w:rPr>
        <w:t xml:space="preserve">Cumplimiento de términos (artículo </w:t>
      </w:r>
      <w:r w:rsidR="00F57AA7" w:rsidRPr="00F57AA7">
        <w:rPr>
          <w:rFonts w:cs="Calibri"/>
          <w:i/>
        </w:rPr>
        <w:t xml:space="preserve">2.2.4.3.1.2.4. </w:t>
      </w:r>
      <w:r w:rsidR="00F57AA7">
        <w:rPr>
          <w:rFonts w:cs="Calibri"/>
          <w:i/>
        </w:rPr>
        <w:t xml:space="preserve"> </w:t>
      </w:r>
      <w:r w:rsidRPr="00454E72">
        <w:rPr>
          <w:rFonts w:cs="Calibri"/>
          <w:i/>
        </w:rPr>
        <w:t xml:space="preserve">Decreto. </w:t>
      </w:r>
      <w:r w:rsidR="00F57AA7">
        <w:rPr>
          <w:rFonts w:cs="Calibri"/>
          <w:i/>
        </w:rPr>
        <w:t>1069</w:t>
      </w:r>
      <w:r w:rsidRPr="00454E72">
        <w:rPr>
          <w:rFonts w:cs="Calibri"/>
          <w:i/>
        </w:rPr>
        <w:t>/</w:t>
      </w:r>
      <w:r w:rsidR="00F57AA7">
        <w:rPr>
          <w:rFonts w:cs="Calibri"/>
          <w:i/>
        </w:rPr>
        <w:t>15</w:t>
      </w:r>
      <w:r w:rsidRPr="00454E72">
        <w:rPr>
          <w:rFonts w:cs="Calibri"/>
          <w:i/>
        </w:rPr>
        <w:t>).</w:t>
      </w:r>
    </w:p>
    <w:p w:rsidR="00BF5F4D" w:rsidRDefault="00BF5F4D" w:rsidP="00BF5F4D">
      <w:pPr>
        <w:jc w:val="both"/>
        <w:rPr>
          <w:rFonts w:cs="Calibri"/>
        </w:rPr>
      </w:pPr>
      <w:r w:rsidRPr="00012535">
        <w:rPr>
          <w:rFonts w:cs="Calibri"/>
        </w:rPr>
        <w:t>Pr</w:t>
      </w:r>
      <w:r w:rsidRPr="00D45330">
        <w:rPr>
          <w:rFonts w:cs="Calibri"/>
        </w:rPr>
        <w:t>esentada la petición de conciliación ante la entidad, el Comité de Conciliación cuenta con quince (15) días a partir de su recibo para toma</w:t>
      </w:r>
      <w:r>
        <w:rPr>
          <w:rFonts w:cs="Calibri"/>
        </w:rPr>
        <w:t>r la correspondiente decisión…”. E</w:t>
      </w:r>
      <w:r w:rsidRPr="00D45330">
        <w:rPr>
          <w:rFonts w:cs="Calibri"/>
        </w:rPr>
        <w:t xml:space="preserve">n cuanto al cumplimiento de esta obligación </w:t>
      </w:r>
      <w:r w:rsidRPr="000217BC">
        <w:rPr>
          <w:rFonts w:cs="Calibri"/>
        </w:rPr>
        <w:t xml:space="preserve">de un total de </w:t>
      </w:r>
      <w:r w:rsidR="00F57AA7">
        <w:rPr>
          <w:rFonts w:cs="Calibri"/>
        </w:rPr>
        <w:t>treinta y dos</w:t>
      </w:r>
      <w:r w:rsidRPr="000217BC">
        <w:rPr>
          <w:rFonts w:cs="Calibri"/>
        </w:rPr>
        <w:t xml:space="preserve"> (</w:t>
      </w:r>
      <w:r w:rsidR="00F57AA7">
        <w:rPr>
          <w:rFonts w:cs="Calibri"/>
        </w:rPr>
        <w:t>32</w:t>
      </w:r>
      <w:r w:rsidRPr="000217BC">
        <w:rPr>
          <w:rFonts w:cs="Calibri"/>
        </w:rPr>
        <w:t xml:space="preserve">) </w:t>
      </w:r>
      <w:r w:rsidR="00F57AA7">
        <w:rPr>
          <w:rFonts w:cs="Calibri"/>
        </w:rPr>
        <w:t>solicitudes de</w:t>
      </w:r>
      <w:r w:rsidRPr="000217BC">
        <w:rPr>
          <w:rFonts w:cs="Calibri"/>
        </w:rPr>
        <w:t xml:space="preserve"> conciliación, </w:t>
      </w:r>
      <w:r w:rsidRPr="000217BC">
        <w:rPr>
          <w:rFonts w:cs="Calibri"/>
          <w:b/>
          <w:i/>
        </w:rPr>
        <w:t xml:space="preserve">se encontraron </w:t>
      </w:r>
      <w:r w:rsidR="00F57AA7">
        <w:rPr>
          <w:rFonts w:cs="Calibri"/>
          <w:b/>
          <w:i/>
        </w:rPr>
        <w:t>catorce</w:t>
      </w:r>
      <w:r w:rsidRPr="000217BC">
        <w:rPr>
          <w:rFonts w:cs="Calibri"/>
          <w:b/>
          <w:i/>
        </w:rPr>
        <w:t xml:space="preserve"> (</w:t>
      </w:r>
      <w:r w:rsidR="00F57AA7">
        <w:rPr>
          <w:rFonts w:cs="Calibri"/>
          <w:b/>
          <w:i/>
        </w:rPr>
        <w:t>14</w:t>
      </w:r>
      <w:r w:rsidRPr="000217BC">
        <w:rPr>
          <w:rFonts w:cs="Calibri"/>
          <w:b/>
          <w:i/>
        </w:rPr>
        <w:t xml:space="preserve">) </w:t>
      </w:r>
      <w:r w:rsidRPr="000217BC">
        <w:rPr>
          <w:rFonts w:cs="Calibri"/>
        </w:rPr>
        <w:t>estudiadas fuera del término prescrito (15 días); sin embargo es necesario anotar que todas fueron resueltas previa la celebración de la respectiva Audiencia de Conciliación.</w:t>
      </w:r>
      <w:r>
        <w:rPr>
          <w:rFonts w:cs="Calibri"/>
        </w:rPr>
        <w:t xml:space="preserve">  </w:t>
      </w:r>
    </w:p>
    <w:p w:rsidR="00250C65" w:rsidRPr="000217BC" w:rsidRDefault="00417B3C" w:rsidP="00BF5F4D">
      <w:pPr>
        <w:jc w:val="both"/>
        <w:rPr>
          <w:rFonts w:cs="Calibri"/>
        </w:rPr>
      </w:pPr>
      <w:r>
        <w:rPr>
          <w:rFonts w:cs="Calibri"/>
        </w:rPr>
        <w:t xml:space="preserve">Frente a este tema es importante anotar que </w:t>
      </w:r>
      <w:r w:rsidR="00D91F66">
        <w:rPr>
          <w:rFonts w:cs="Calibri"/>
        </w:rPr>
        <w:t xml:space="preserve">con ocasión del informe de seguimiento entregado por esta Oficina en la vigencia pasada, </w:t>
      </w:r>
      <w:r>
        <w:rPr>
          <w:rFonts w:cs="Calibri"/>
        </w:rPr>
        <w:t xml:space="preserve">el Grupo de Defensa Judicial </w:t>
      </w:r>
      <w:r w:rsidR="001D38B7">
        <w:rPr>
          <w:rFonts w:cs="Calibri"/>
        </w:rPr>
        <w:t xml:space="preserve">a partir del mes de abril </w:t>
      </w:r>
      <w:r>
        <w:rPr>
          <w:rFonts w:cs="Calibri"/>
        </w:rPr>
        <w:t>estableció acciones de mejora en el Plan de Mejoramiento Institucional (Acción 592)</w:t>
      </w:r>
      <w:r w:rsidR="001D38B7">
        <w:rPr>
          <w:rFonts w:cs="Calibri"/>
        </w:rPr>
        <w:t xml:space="preserve">, </w:t>
      </w:r>
      <w:r>
        <w:rPr>
          <w:rFonts w:cs="Calibri"/>
        </w:rPr>
        <w:t>reflejándose disminución de las solicitud</w:t>
      </w:r>
      <w:r w:rsidR="001D38B7">
        <w:rPr>
          <w:rFonts w:cs="Calibri"/>
        </w:rPr>
        <w:t xml:space="preserve">es tramitadas fuera de términos, únicamente 2 para </w:t>
      </w:r>
      <w:r>
        <w:rPr>
          <w:rFonts w:cs="Calibri"/>
        </w:rPr>
        <w:t>e</w:t>
      </w:r>
      <w:r w:rsidR="00250C65">
        <w:rPr>
          <w:rFonts w:cs="Calibri"/>
        </w:rPr>
        <w:t>l periodo abril – diciembre</w:t>
      </w:r>
      <w:r w:rsidR="001D38B7">
        <w:rPr>
          <w:rFonts w:cs="Calibri"/>
        </w:rPr>
        <w:t xml:space="preserve">; </w:t>
      </w:r>
      <w:r w:rsidR="00250C65">
        <w:rPr>
          <w:rFonts w:cs="Calibri"/>
        </w:rPr>
        <w:t xml:space="preserve">de acuerdo a la información </w:t>
      </w:r>
      <w:r w:rsidR="001D38B7">
        <w:rPr>
          <w:rFonts w:cs="Calibri"/>
        </w:rPr>
        <w:t xml:space="preserve">suministrada </w:t>
      </w:r>
      <w:r w:rsidR="00250C65">
        <w:rPr>
          <w:rFonts w:cs="Calibri"/>
        </w:rPr>
        <w:t>por la Secretaria Técnica del Comité</w:t>
      </w:r>
      <w:r w:rsidR="001D38B7">
        <w:rPr>
          <w:rFonts w:cs="Calibri"/>
        </w:rPr>
        <w:t>,</w:t>
      </w:r>
      <w:r w:rsidR="00250C65">
        <w:rPr>
          <w:rFonts w:cs="Calibri"/>
        </w:rPr>
        <w:t xml:space="preserve"> estas solicitudes</w:t>
      </w:r>
      <w:r w:rsidR="00D91F66">
        <w:rPr>
          <w:rFonts w:cs="Calibri"/>
        </w:rPr>
        <w:t xml:space="preserve"> </w:t>
      </w:r>
      <w:r w:rsidR="00250C65">
        <w:rPr>
          <w:rFonts w:cs="Calibri"/>
        </w:rPr>
        <w:t>fueron estudiadas vencidos los términos por causas externas al Comité (Acciones Judiciales y dificultad de acceder a la información necesaria para proyectar la ficha técnica).</w:t>
      </w:r>
    </w:p>
    <w:p w:rsidR="00BF5F4D" w:rsidRPr="00454E72" w:rsidRDefault="00BF5F4D" w:rsidP="00F57AA7">
      <w:pPr>
        <w:numPr>
          <w:ilvl w:val="0"/>
          <w:numId w:val="9"/>
        </w:numPr>
        <w:jc w:val="both"/>
        <w:rPr>
          <w:rFonts w:cs="Calibri"/>
          <w:i/>
        </w:rPr>
      </w:pPr>
      <w:r w:rsidRPr="00454E72">
        <w:rPr>
          <w:rFonts w:cs="Calibri"/>
          <w:i/>
        </w:rPr>
        <w:t xml:space="preserve">Funciones Secretaria Técnica (Articulo </w:t>
      </w:r>
      <w:r w:rsidR="00F57AA7" w:rsidRPr="00F57AA7">
        <w:rPr>
          <w:rFonts w:cs="Calibri"/>
          <w:i/>
        </w:rPr>
        <w:t>2.2.4.3.1.2.6.</w:t>
      </w:r>
      <w:r w:rsidRPr="00454E72">
        <w:rPr>
          <w:rFonts w:cs="Calibri"/>
          <w:i/>
        </w:rPr>
        <w:t xml:space="preserve"> Decreto 1</w:t>
      </w:r>
      <w:r w:rsidR="00F57AA7">
        <w:rPr>
          <w:rFonts w:cs="Calibri"/>
          <w:i/>
        </w:rPr>
        <w:t>069</w:t>
      </w:r>
      <w:r w:rsidRPr="00454E72">
        <w:rPr>
          <w:rFonts w:cs="Calibri"/>
          <w:i/>
        </w:rPr>
        <w:t>/</w:t>
      </w:r>
      <w:r w:rsidR="00F57AA7">
        <w:rPr>
          <w:rFonts w:cs="Calibri"/>
          <w:i/>
        </w:rPr>
        <w:t>15</w:t>
      </w:r>
      <w:r w:rsidRPr="00454E72">
        <w:rPr>
          <w:rFonts w:cs="Calibri"/>
          <w:i/>
        </w:rPr>
        <w:t>)</w:t>
      </w:r>
    </w:p>
    <w:p w:rsidR="00BF5F4D" w:rsidRDefault="00BF5F4D" w:rsidP="00BF5F4D">
      <w:pPr>
        <w:numPr>
          <w:ilvl w:val="1"/>
          <w:numId w:val="9"/>
        </w:numPr>
        <w:jc w:val="both"/>
        <w:rPr>
          <w:rFonts w:cs="Calibri"/>
        </w:rPr>
      </w:pPr>
      <w:r>
        <w:rPr>
          <w:rFonts w:cs="Calibri"/>
        </w:rPr>
        <w:t xml:space="preserve"> Se </w:t>
      </w:r>
      <w:r w:rsidRPr="00EA5CF0">
        <w:rPr>
          <w:rFonts w:cs="Calibri"/>
        </w:rPr>
        <w:t xml:space="preserve">observó </w:t>
      </w:r>
      <w:r>
        <w:rPr>
          <w:rFonts w:cs="Calibri"/>
        </w:rPr>
        <w:t>que en</w:t>
      </w:r>
      <w:r w:rsidRPr="00EA5CF0">
        <w:rPr>
          <w:rFonts w:cs="Calibri"/>
        </w:rPr>
        <w:t xml:space="preserve"> las reuniones efectuadas a lo largo del año se elaboraron las correspondientes actas, en las </w:t>
      </w:r>
      <w:r>
        <w:rPr>
          <w:rFonts w:cs="Calibri"/>
        </w:rPr>
        <w:t xml:space="preserve">que </w:t>
      </w:r>
      <w:r w:rsidRPr="00EA5CF0">
        <w:rPr>
          <w:rFonts w:cs="Calibri"/>
        </w:rPr>
        <w:t>se han precisado los contenidos de los a</w:t>
      </w:r>
      <w:r>
        <w:rPr>
          <w:rFonts w:cs="Calibri"/>
        </w:rPr>
        <w:t>suntos debatidos por el Comité y las mismas se encuentran elaboradas en el f</w:t>
      </w:r>
      <w:r w:rsidRPr="00EA5CF0">
        <w:rPr>
          <w:rFonts w:cs="Calibri"/>
        </w:rPr>
        <w:t xml:space="preserve">ormato </w:t>
      </w:r>
      <w:r>
        <w:rPr>
          <w:rFonts w:cs="Calibri"/>
        </w:rPr>
        <w:t>registrado en el Sistema de Gestión de Calidad (carp</w:t>
      </w:r>
      <w:r w:rsidRPr="00EA5CF0">
        <w:rPr>
          <w:rFonts w:cs="Calibri"/>
        </w:rPr>
        <w:t>eta Calidad_Dafp</w:t>
      </w:r>
      <w:r>
        <w:rPr>
          <w:rFonts w:cs="Calibri"/>
        </w:rPr>
        <w:t>)</w:t>
      </w:r>
      <w:r w:rsidRPr="00EA5CF0">
        <w:rPr>
          <w:rFonts w:cs="Calibri"/>
        </w:rPr>
        <w:t>.</w:t>
      </w:r>
    </w:p>
    <w:p w:rsidR="00BF5F4D" w:rsidRDefault="00BF5F4D" w:rsidP="00BF5F4D">
      <w:pPr>
        <w:pStyle w:val="Prrafodelista"/>
        <w:numPr>
          <w:ilvl w:val="1"/>
          <w:numId w:val="9"/>
        </w:numPr>
        <w:jc w:val="both"/>
        <w:rPr>
          <w:rFonts w:ascii="Calibri" w:hAnsi="Calibri" w:cs="Calibri"/>
        </w:rPr>
      </w:pPr>
      <w:r w:rsidRPr="00887EEB">
        <w:rPr>
          <w:rFonts w:ascii="Calibri" w:hAnsi="Calibri" w:cs="Calibri"/>
        </w:rPr>
        <w:t>Para el primer semestre de 201</w:t>
      </w:r>
      <w:r w:rsidR="00F57AA7" w:rsidRPr="00887EEB">
        <w:rPr>
          <w:rFonts w:ascii="Calibri" w:hAnsi="Calibri" w:cs="Calibri"/>
        </w:rPr>
        <w:t>5</w:t>
      </w:r>
      <w:r w:rsidRPr="00887EEB">
        <w:rPr>
          <w:rFonts w:ascii="Calibri" w:hAnsi="Calibri" w:cs="Calibri"/>
        </w:rPr>
        <w:t xml:space="preserve">, se evidenció el cumplimiento de la presentación del informe “Formato Único de Información Litigiosa y Conciliaciones, Llamamiento en Garantía y Acción de Repetición”. En lo que hace referencia al informe del segundo semestre, </w:t>
      </w:r>
      <w:r w:rsidR="00887EEB" w:rsidRPr="00887EEB">
        <w:rPr>
          <w:rFonts w:ascii="Calibri" w:hAnsi="Calibri" w:cs="Calibri"/>
        </w:rPr>
        <w:t>el plazo para presentación del mismo vence el quince (15) de marzo de 2016, tal como lo dispone la Cir</w:t>
      </w:r>
      <w:r w:rsidRPr="00887EEB">
        <w:rPr>
          <w:rFonts w:ascii="Calibri" w:hAnsi="Calibri" w:cs="Calibri"/>
        </w:rPr>
        <w:t>cular Externa 001 de 201</w:t>
      </w:r>
      <w:r w:rsidR="00887EEB" w:rsidRPr="00887EEB">
        <w:rPr>
          <w:rFonts w:ascii="Calibri" w:hAnsi="Calibri" w:cs="Calibri"/>
        </w:rPr>
        <w:t>6</w:t>
      </w:r>
      <w:r w:rsidRPr="00887EEB">
        <w:rPr>
          <w:rFonts w:ascii="Calibri" w:hAnsi="Calibri" w:cs="Calibri"/>
        </w:rPr>
        <w:t xml:space="preserve"> expedida por la A</w:t>
      </w:r>
      <w:r w:rsidR="00887EEB" w:rsidRPr="00887EEB">
        <w:rPr>
          <w:rFonts w:ascii="Calibri" w:hAnsi="Calibri" w:cs="Calibri"/>
        </w:rPr>
        <w:t xml:space="preserve">gencia </w:t>
      </w:r>
      <w:r w:rsidRPr="00887EEB">
        <w:rPr>
          <w:rFonts w:ascii="Calibri" w:hAnsi="Calibri" w:cs="Calibri"/>
        </w:rPr>
        <w:t>N</w:t>
      </w:r>
      <w:r w:rsidR="00887EEB" w:rsidRPr="00887EEB">
        <w:rPr>
          <w:rFonts w:ascii="Calibri" w:hAnsi="Calibri" w:cs="Calibri"/>
        </w:rPr>
        <w:t xml:space="preserve">acional de </w:t>
      </w:r>
      <w:r w:rsidRPr="00887EEB">
        <w:rPr>
          <w:rFonts w:ascii="Calibri" w:hAnsi="Calibri" w:cs="Calibri"/>
        </w:rPr>
        <w:t>D</w:t>
      </w:r>
      <w:r w:rsidR="00887EEB" w:rsidRPr="00887EEB">
        <w:rPr>
          <w:rFonts w:ascii="Calibri" w:hAnsi="Calibri" w:cs="Calibri"/>
        </w:rPr>
        <w:t xml:space="preserve">efensa Jurídica del </w:t>
      </w:r>
      <w:r w:rsidRPr="00887EEB">
        <w:rPr>
          <w:rFonts w:ascii="Calibri" w:hAnsi="Calibri" w:cs="Calibri"/>
        </w:rPr>
        <w:t>E</w:t>
      </w:r>
      <w:r w:rsidR="00887EEB" w:rsidRPr="00887EEB">
        <w:rPr>
          <w:rFonts w:ascii="Calibri" w:hAnsi="Calibri" w:cs="Calibri"/>
        </w:rPr>
        <w:t>stado</w:t>
      </w:r>
      <w:r w:rsidRPr="00887EEB">
        <w:rPr>
          <w:rFonts w:ascii="Calibri" w:hAnsi="Calibri" w:cs="Calibri"/>
        </w:rPr>
        <w:t xml:space="preserve">. </w:t>
      </w:r>
    </w:p>
    <w:p w:rsidR="00250C65" w:rsidRDefault="00250C65" w:rsidP="00250C65">
      <w:pPr>
        <w:pStyle w:val="Prrafodelista"/>
        <w:jc w:val="both"/>
        <w:rPr>
          <w:rFonts w:ascii="Calibri" w:hAnsi="Calibri" w:cs="Calibri"/>
        </w:rPr>
      </w:pPr>
    </w:p>
    <w:p w:rsidR="00250C65" w:rsidRPr="00887EEB" w:rsidRDefault="00250C65" w:rsidP="00250C65">
      <w:pPr>
        <w:pStyle w:val="Prrafodelista"/>
        <w:jc w:val="both"/>
        <w:rPr>
          <w:rFonts w:ascii="Calibri" w:hAnsi="Calibri" w:cs="Calibri"/>
        </w:rPr>
      </w:pPr>
    </w:p>
    <w:p w:rsidR="00887EEB" w:rsidRPr="00887EEB" w:rsidRDefault="00887EEB" w:rsidP="00887EEB">
      <w:pPr>
        <w:pStyle w:val="Prrafodelista"/>
        <w:jc w:val="both"/>
        <w:rPr>
          <w:rFonts w:ascii="Calibri" w:hAnsi="Calibri" w:cs="Calibri"/>
        </w:rPr>
      </w:pPr>
    </w:p>
    <w:p w:rsidR="00BF5F4D" w:rsidRPr="00F57AA7" w:rsidRDefault="00BF5F4D" w:rsidP="00BF5F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F57AA7">
        <w:rPr>
          <w:rFonts w:ascii="Calibri" w:hAnsi="Calibri" w:cs="Calibri"/>
          <w:i/>
        </w:rPr>
        <w:t>Indicadores</w:t>
      </w:r>
    </w:p>
    <w:p w:rsidR="00F57AA7" w:rsidRPr="00F57AA7" w:rsidRDefault="00F57AA7" w:rsidP="00F57AA7">
      <w:pPr>
        <w:pStyle w:val="Prrafodelista"/>
        <w:spacing w:after="0" w:line="240" w:lineRule="auto"/>
        <w:jc w:val="both"/>
        <w:rPr>
          <w:rFonts w:ascii="Calibri" w:hAnsi="Calibri" w:cs="Calibri"/>
        </w:rPr>
      </w:pPr>
    </w:p>
    <w:p w:rsidR="00BF5F4D" w:rsidRDefault="00F57AA7" w:rsidP="00BF5F4D">
      <w:pPr>
        <w:jc w:val="both"/>
        <w:rPr>
          <w:rFonts w:cs="Calibri"/>
        </w:rPr>
      </w:pPr>
      <w:r>
        <w:rPr>
          <w:rFonts w:cs="Calibri"/>
        </w:rPr>
        <w:t xml:space="preserve">Teniendo en cuenta que la Oficina de Control Interno elevó consulta a la Agencia Nacional de Defensa Jurídica del Estado, con el fin de determinar la obligatoriedad de acoger los indicadores señalados en la Directiva Presidencial 005 de 2009 y que esta </w:t>
      </w:r>
      <w:r w:rsidR="00887EEB">
        <w:rPr>
          <w:rFonts w:cs="Calibri"/>
        </w:rPr>
        <w:t>última</w:t>
      </w:r>
      <w:r>
        <w:rPr>
          <w:rFonts w:cs="Calibri"/>
        </w:rPr>
        <w:t xml:space="preserve"> dio </w:t>
      </w:r>
      <w:r w:rsidR="00887EEB">
        <w:rPr>
          <w:rFonts w:cs="Calibri"/>
        </w:rPr>
        <w:t>trámite</w:t>
      </w:r>
      <w:r>
        <w:rPr>
          <w:rFonts w:cs="Calibri"/>
        </w:rPr>
        <w:t xml:space="preserve"> a la solicitud informando “</w:t>
      </w:r>
      <w:r w:rsidR="00CE0F98">
        <w:rPr>
          <w:rFonts w:cs="Calibri"/>
        </w:rPr>
        <w:t xml:space="preserve">… </w:t>
      </w:r>
      <w:r w:rsidRPr="00F57AA7">
        <w:rPr>
          <w:rFonts w:cs="Calibri"/>
        </w:rPr>
        <w:t>hoy en día no es obligatorio para las entidades públicas la adopción y seguimiento  a los indicadores previstos en el Núm. 9 de la Directiva 005 de 2009…”.</w:t>
      </w:r>
      <w:r>
        <w:rPr>
          <w:rFonts w:cs="Calibri"/>
        </w:rPr>
        <w:t xml:space="preserve"> </w:t>
      </w:r>
    </w:p>
    <w:p w:rsidR="00887EEB" w:rsidRDefault="00CE0F98" w:rsidP="00BF5F4D">
      <w:pPr>
        <w:jc w:val="both"/>
        <w:rPr>
          <w:rFonts w:cs="Calibri"/>
        </w:rPr>
      </w:pPr>
      <w:r>
        <w:rPr>
          <w:rFonts w:cs="Calibri"/>
        </w:rPr>
        <w:t>E</w:t>
      </w:r>
      <w:r w:rsidR="00887EEB">
        <w:rPr>
          <w:rFonts w:cs="Calibri"/>
        </w:rPr>
        <w:t>sta Oficina procedió al cierre de la acción No. 593 incluida en el Plan de Mejoramiento Institucional.</w:t>
      </w:r>
    </w:p>
    <w:p w:rsidR="00BF5F4D" w:rsidRDefault="00BF5F4D" w:rsidP="00BF5F4D">
      <w:pPr>
        <w:jc w:val="both"/>
        <w:rPr>
          <w:rFonts w:cs="Calibri"/>
          <w:b/>
        </w:rPr>
      </w:pPr>
      <w:r>
        <w:rPr>
          <w:rFonts w:cs="Calibri"/>
          <w:b/>
        </w:rPr>
        <w:t>C</w:t>
      </w:r>
      <w:r w:rsidRPr="00EA5CF0">
        <w:rPr>
          <w:rFonts w:cs="Calibri"/>
          <w:b/>
        </w:rPr>
        <w:t>o</w:t>
      </w:r>
      <w:r>
        <w:rPr>
          <w:rFonts w:cs="Calibri"/>
          <w:b/>
        </w:rPr>
        <w:t>nclusiones</w:t>
      </w:r>
      <w:r w:rsidRPr="00EA5CF0">
        <w:rPr>
          <w:rFonts w:cs="Calibri"/>
          <w:b/>
        </w:rPr>
        <w:t xml:space="preserve"> y Recomendaciones</w:t>
      </w:r>
    </w:p>
    <w:p w:rsidR="00BF5F4D" w:rsidRPr="00CE0F98" w:rsidRDefault="00CE0F98" w:rsidP="00CE0F98">
      <w:pPr>
        <w:jc w:val="both"/>
        <w:rPr>
          <w:rFonts w:cs="Calibri"/>
        </w:rPr>
      </w:pPr>
      <w:r w:rsidRPr="00CE0F98">
        <w:rPr>
          <w:rFonts w:cs="Calibri"/>
        </w:rPr>
        <w:t>Dar continuidad a las acciones establecidas en el Plan de Mejoramiento Institucional (Acción 592)</w:t>
      </w:r>
      <w:r w:rsidR="004D723E">
        <w:rPr>
          <w:rFonts w:cs="Calibri"/>
        </w:rPr>
        <w:t>,</w:t>
      </w:r>
      <w:r w:rsidRPr="00CE0F98">
        <w:rPr>
          <w:rFonts w:cs="Calibri"/>
        </w:rPr>
        <w:t xml:space="preserve"> con el fin de tramitar dentro de los términos de Ley la totalidad de las solicitudes de conciliación extrajudicial</w:t>
      </w:r>
      <w:r w:rsidR="00BF5F4D" w:rsidRPr="00CE0F98">
        <w:rPr>
          <w:rFonts w:cs="Calibri"/>
        </w:rPr>
        <w:t>.</w:t>
      </w:r>
    </w:p>
    <w:p w:rsidR="00BF5F4D" w:rsidRPr="00432581" w:rsidRDefault="00BF5F4D" w:rsidP="00BF5F4D">
      <w:pPr>
        <w:spacing w:after="0" w:line="240" w:lineRule="auto"/>
        <w:jc w:val="both"/>
        <w:rPr>
          <w:rFonts w:cs="Calibri"/>
          <w:b/>
          <w:color w:val="FF0000"/>
        </w:rPr>
      </w:pPr>
    </w:p>
    <w:p w:rsidR="00BF5F4D" w:rsidRDefault="00BF5F4D" w:rsidP="00BF5F4D">
      <w:pPr>
        <w:spacing w:after="0" w:line="240" w:lineRule="auto"/>
        <w:jc w:val="both"/>
        <w:rPr>
          <w:rFonts w:cs="Calibri"/>
          <w:b/>
        </w:rPr>
      </w:pPr>
    </w:p>
    <w:p w:rsidR="00BF5F4D" w:rsidRDefault="00BF5F4D" w:rsidP="00BF5F4D">
      <w:pPr>
        <w:spacing w:after="0" w:line="240" w:lineRule="auto"/>
        <w:jc w:val="both"/>
        <w:rPr>
          <w:rFonts w:cs="Calibri"/>
          <w:b/>
        </w:rPr>
      </w:pPr>
    </w:p>
    <w:p w:rsidR="00BF5F4D" w:rsidRDefault="00BF5F4D" w:rsidP="00BF5F4D">
      <w:pPr>
        <w:spacing w:after="0" w:line="240" w:lineRule="auto"/>
        <w:jc w:val="both"/>
        <w:rPr>
          <w:rFonts w:cs="Calibri"/>
          <w:b/>
        </w:rPr>
      </w:pPr>
    </w:p>
    <w:p w:rsidR="00BF5F4D" w:rsidRPr="00EA5CF0" w:rsidRDefault="00BF5F4D" w:rsidP="00BF5F4D">
      <w:pPr>
        <w:spacing w:after="0" w:line="240" w:lineRule="auto"/>
        <w:jc w:val="both"/>
        <w:rPr>
          <w:rFonts w:cs="Calibri"/>
          <w:b/>
        </w:rPr>
      </w:pPr>
      <w:r w:rsidRPr="00EA5CF0">
        <w:rPr>
          <w:rFonts w:cs="Calibri"/>
          <w:b/>
        </w:rPr>
        <w:t>LUZ STELLA PATIÑO JURADO</w:t>
      </w:r>
    </w:p>
    <w:p w:rsidR="00BF5F4D" w:rsidRPr="00EA5CF0" w:rsidRDefault="00BF5F4D" w:rsidP="00BF5F4D">
      <w:pPr>
        <w:spacing w:after="0" w:line="240" w:lineRule="auto"/>
        <w:jc w:val="both"/>
        <w:rPr>
          <w:rFonts w:cs="Calibri"/>
          <w:b/>
        </w:rPr>
      </w:pPr>
      <w:r w:rsidRPr="00EA5CF0">
        <w:rPr>
          <w:rFonts w:cs="Calibri"/>
          <w:b/>
        </w:rPr>
        <w:t xml:space="preserve">Jefe Oficina de Control Interno  </w:t>
      </w:r>
    </w:p>
    <w:p w:rsidR="00BF5F4D" w:rsidRDefault="00BF5F4D" w:rsidP="00BF5F4D">
      <w:pPr>
        <w:spacing w:after="0" w:line="240" w:lineRule="auto"/>
        <w:jc w:val="both"/>
        <w:rPr>
          <w:rFonts w:cs="Calibri"/>
          <w:b/>
        </w:rPr>
      </w:pPr>
    </w:p>
    <w:p w:rsidR="00BF5F4D" w:rsidRPr="00C22220" w:rsidRDefault="00BF5F4D" w:rsidP="00BF5F4D">
      <w:pPr>
        <w:spacing w:after="0" w:line="240" w:lineRule="auto"/>
        <w:jc w:val="both"/>
        <w:rPr>
          <w:color w:val="FF0000"/>
          <w:sz w:val="16"/>
          <w:szCs w:val="16"/>
        </w:rPr>
      </w:pPr>
      <w:r w:rsidRPr="00EA5CF0">
        <w:rPr>
          <w:rFonts w:cs="Calibri"/>
        </w:rPr>
        <w:t>P</w:t>
      </w:r>
      <w:r w:rsidRPr="00C22220">
        <w:rPr>
          <w:rFonts w:ascii="Arial" w:hAnsi="Arial" w:cs="Arial"/>
          <w:sz w:val="16"/>
          <w:szCs w:val="16"/>
        </w:rPr>
        <w:t>royecto: JMSP / Revisó: LSPJ</w:t>
      </w:r>
    </w:p>
    <w:sectPr w:rsidR="00BF5F4D" w:rsidRPr="00C22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DB" w:rsidRDefault="005E11DB" w:rsidP="00790668">
      <w:pPr>
        <w:spacing w:after="0" w:line="240" w:lineRule="auto"/>
      </w:pPr>
      <w:r>
        <w:separator/>
      </w:r>
    </w:p>
  </w:endnote>
  <w:endnote w:type="continuationSeparator" w:id="0">
    <w:p w:rsidR="005E11DB" w:rsidRDefault="005E11DB" w:rsidP="007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Bold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Futura Std Medium Oblique">
    <w:altName w:val="Vrinda"/>
    <w:charset w:val="00"/>
    <w:family w:val="auto"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DB" w:rsidRDefault="005E11DB" w:rsidP="00790668">
      <w:pPr>
        <w:spacing w:after="0" w:line="240" w:lineRule="auto"/>
      </w:pPr>
      <w:r>
        <w:separator/>
      </w:r>
    </w:p>
  </w:footnote>
  <w:footnote w:type="continuationSeparator" w:id="0">
    <w:p w:rsidR="005E11DB" w:rsidRDefault="005E11DB" w:rsidP="00790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9DF"/>
    <w:multiLevelType w:val="hybridMultilevel"/>
    <w:tmpl w:val="547A5B78"/>
    <w:lvl w:ilvl="0" w:tplc="7850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5D8F"/>
    <w:multiLevelType w:val="hybridMultilevel"/>
    <w:tmpl w:val="AA109EB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543139"/>
    <w:multiLevelType w:val="hybridMultilevel"/>
    <w:tmpl w:val="5A22248A"/>
    <w:lvl w:ilvl="0" w:tplc="25220A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02602"/>
    <w:multiLevelType w:val="hybridMultilevel"/>
    <w:tmpl w:val="BCE06190"/>
    <w:lvl w:ilvl="0" w:tplc="5546B43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5776E"/>
    <w:multiLevelType w:val="hybridMultilevel"/>
    <w:tmpl w:val="57E0A8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52911"/>
    <w:multiLevelType w:val="hybridMultilevel"/>
    <w:tmpl w:val="19588A1A"/>
    <w:lvl w:ilvl="0" w:tplc="FBAEE6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E3F53"/>
    <w:multiLevelType w:val="hybridMultilevel"/>
    <w:tmpl w:val="989E70B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D7E87"/>
    <w:multiLevelType w:val="hybridMultilevel"/>
    <w:tmpl w:val="7606299E"/>
    <w:lvl w:ilvl="0" w:tplc="E7C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64C88"/>
    <w:multiLevelType w:val="multilevel"/>
    <w:tmpl w:val="1B340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C780D65"/>
    <w:multiLevelType w:val="hybridMultilevel"/>
    <w:tmpl w:val="989E70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D"/>
    <w:rsid w:val="000148AE"/>
    <w:rsid w:val="00085958"/>
    <w:rsid w:val="00086FD3"/>
    <w:rsid w:val="000C082A"/>
    <w:rsid w:val="000C2115"/>
    <w:rsid w:val="000C7755"/>
    <w:rsid w:val="000E6C5B"/>
    <w:rsid w:val="001046CA"/>
    <w:rsid w:val="00135BE5"/>
    <w:rsid w:val="001478F6"/>
    <w:rsid w:val="00164864"/>
    <w:rsid w:val="0017433A"/>
    <w:rsid w:val="00176462"/>
    <w:rsid w:val="00184D43"/>
    <w:rsid w:val="001B4B0E"/>
    <w:rsid w:val="001B5BF2"/>
    <w:rsid w:val="001D1687"/>
    <w:rsid w:val="001D38B7"/>
    <w:rsid w:val="00231594"/>
    <w:rsid w:val="002361BE"/>
    <w:rsid w:val="00250C65"/>
    <w:rsid w:val="00266D66"/>
    <w:rsid w:val="00273CB1"/>
    <w:rsid w:val="0028094B"/>
    <w:rsid w:val="00286D58"/>
    <w:rsid w:val="002A06BB"/>
    <w:rsid w:val="002A21CF"/>
    <w:rsid w:val="002B2002"/>
    <w:rsid w:val="002C3438"/>
    <w:rsid w:val="002C5659"/>
    <w:rsid w:val="002E7560"/>
    <w:rsid w:val="00306902"/>
    <w:rsid w:val="00342BCB"/>
    <w:rsid w:val="00351A1E"/>
    <w:rsid w:val="003A6B6E"/>
    <w:rsid w:val="003B1B79"/>
    <w:rsid w:val="003E4B6A"/>
    <w:rsid w:val="0041265C"/>
    <w:rsid w:val="00415D24"/>
    <w:rsid w:val="00416DC0"/>
    <w:rsid w:val="00417B3C"/>
    <w:rsid w:val="004200D1"/>
    <w:rsid w:val="00433973"/>
    <w:rsid w:val="004541F8"/>
    <w:rsid w:val="0045470A"/>
    <w:rsid w:val="004A5E3B"/>
    <w:rsid w:val="004C7EC7"/>
    <w:rsid w:val="004D723E"/>
    <w:rsid w:val="004F5618"/>
    <w:rsid w:val="004F65A1"/>
    <w:rsid w:val="005252FB"/>
    <w:rsid w:val="00552B05"/>
    <w:rsid w:val="005652A4"/>
    <w:rsid w:val="00580EB9"/>
    <w:rsid w:val="0059126E"/>
    <w:rsid w:val="005E11DB"/>
    <w:rsid w:val="00614F90"/>
    <w:rsid w:val="00642097"/>
    <w:rsid w:val="00661EF2"/>
    <w:rsid w:val="0067449B"/>
    <w:rsid w:val="006A518A"/>
    <w:rsid w:val="006E0BB0"/>
    <w:rsid w:val="00705862"/>
    <w:rsid w:val="00724890"/>
    <w:rsid w:val="00727058"/>
    <w:rsid w:val="00746D47"/>
    <w:rsid w:val="00773639"/>
    <w:rsid w:val="00790668"/>
    <w:rsid w:val="007976E3"/>
    <w:rsid w:val="00797AC2"/>
    <w:rsid w:val="007A5C45"/>
    <w:rsid w:val="007E1F7A"/>
    <w:rsid w:val="007F3DC6"/>
    <w:rsid w:val="0082410D"/>
    <w:rsid w:val="00834AAC"/>
    <w:rsid w:val="00860A5B"/>
    <w:rsid w:val="00861818"/>
    <w:rsid w:val="00863C09"/>
    <w:rsid w:val="00887EEB"/>
    <w:rsid w:val="008D22D3"/>
    <w:rsid w:val="008D383B"/>
    <w:rsid w:val="008D6BC8"/>
    <w:rsid w:val="008E7755"/>
    <w:rsid w:val="008F305E"/>
    <w:rsid w:val="00951024"/>
    <w:rsid w:val="00954740"/>
    <w:rsid w:val="0095668D"/>
    <w:rsid w:val="009B49E5"/>
    <w:rsid w:val="00A05089"/>
    <w:rsid w:val="00A226BE"/>
    <w:rsid w:val="00A5637D"/>
    <w:rsid w:val="00A563C5"/>
    <w:rsid w:val="00A65D13"/>
    <w:rsid w:val="00A8165F"/>
    <w:rsid w:val="00AC4B34"/>
    <w:rsid w:val="00B310DB"/>
    <w:rsid w:val="00B70473"/>
    <w:rsid w:val="00B7653A"/>
    <w:rsid w:val="00BA7A6D"/>
    <w:rsid w:val="00BB018C"/>
    <w:rsid w:val="00BB17ED"/>
    <w:rsid w:val="00BF5F4D"/>
    <w:rsid w:val="00C12365"/>
    <w:rsid w:val="00C24B85"/>
    <w:rsid w:val="00C6208C"/>
    <w:rsid w:val="00C74A5A"/>
    <w:rsid w:val="00CE0F98"/>
    <w:rsid w:val="00CE751A"/>
    <w:rsid w:val="00D06381"/>
    <w:rsid w:val="00D11798"/>
    <w:rsid w:val="00D652F1"/>
    <w:rsid w:val="00D91F66"/>
    <w:rsid w:val="00DA3741"/>
    <w:rsid w:val="00DA6605"/>
    <w:rsid w:val="00DB72EE"/>
    <w:rsid w:val="00DC6679"/>
    <w:rsid w:val="00E16A2C"/>
    <w:rsid w:val="00E44FF7"/>
    <w:rsid w:val="00E50275"/>
    <w:rsid w:val="00E52488"/>
    <w:rsid w:val="00E92A3B"/>
    <w:rsid w:val="00EC75FE"/>
    <w:rsid w:val="00EE4F7C"/>
    <w:rsid w:val="00EF4308"/>
    <w:rsid w:val="00F048E9"/>
    <w:rsid w:val="00F40526"/>
    <w:rsid w:val="00F57AA7"/>
    <w:rsid w:val="00F616AD"/>
    <w:rsid w:val="00F642F9"/>
    <w:rsid w:val="00F939D7"/>
    <w:rsid w:val="00F97B20"/>
    <w:rsid w:val="00FB6196"/>
    <w:rsid w:val="00FC3668"/>
    <w:rsid w:val="00FC6D54"/>
    <w:rsid w:val="00FD26F3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Marcela Sanchez Parra</dc:creator>
  <cp:lastModifiedBy>Carmenza Alarcon</cp:lastModifiedBy>
  <cp:revision>2</cp:revision>
  <dcterms:created xsi:type="dcterms:W3CDTF">2016-04-07T16:42:00Z</dcterms:created>
  <dcterms:modified xsi:type="dcterms:W3CDTF">2016-04-07T16:42:00Z</dcterms:modified>
</cp:coreProperties>
</file>