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71B8" w:rsidRDefault="00C171B8" w:rsidP="00AB10A9">
      <w:pPr>
        <w:pStyle w:val="Ttulo1"/>
      </w:pPr>
      <w:bookmarkStart w:id="0" w:name="_GoBack"/>
      <w:bookmarkEnd w:id="0"/>
    </w:p>
    <w:p w:rsidR="006805F6" w:rsidRDefault="004E2BA1" w:rsidP="004E2C48">
      <w:pPr>
        <w:ind w:right="49"/>
        <w:jc w:val="right"/>
      </w:pPr>
      <w:r w:rsidRPr="00E62410">
        <w:rPr>
          <w:rFonts w:ascii="Arial Black" w:hAnsi="Arial Black"/>
          <w:noProof/>
          <w:sz w:val="24"/>
          <w:lang w:eastAsia="es-CO"/>
        </w:rPr>
        <mc:AlternateContent>
          <mc:Choice Requires="wps">
            <w:drawing>
              <wp:anchor distT="45720" distB="45720" distL="114300" distR="114300" simplePos="0" relativeHeight="251656192" behindDoc="0" locked="0" layoutInCell="1" allowOverlap="1" wp14:anchorId="6F7FDFC5" wp14:editId="17B886D3">
                <wp:simplePos x="0" y="0"/>
                <wp:positionH relativeFrom="margin">
                  <wp:posOffset>-794385</wp:posOffset>
                </wp:positionH>
                <wp:positionV relativeFrom="paragraph">
                  <wp:posOffset>4540885</wp:posOffset>
                </wp:positionV>
                <wp:extent cx="4611370" cy="2626995"/>
                <wp:effectExtent l="0" t="0" r="0" b="1905"/>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1370" cy="2626995"/>
                        </a:xfrm>
                        <a:prstGeom prst="rect">
                          <a:avLst/>
                        </a:prstGeom>
                        <a:noFill/>
                        <a:ln w="9525">
                          <a:noFill/>
                          <a:miter lim="800000"/>
                          <a:headEnd/>
                          <a:tailEnd/>
                        </a:ln>
                      </wps:spPr>
                      <wps:txbx>
                        <w:txbxContent>
                          <w:p w:rsidR="00E509F2" w:rsidRPr="002861EC" w:rsidRDefault="00E509F2" w:rsidP="004E2BA1">
                            <w:pPr>
                              <w:spacing w:line="192" w:lineRule="auto"/>
                              <w:jc w:val="center"/>
                              <w:rPr>
                                <w:rFonts w:ascii="Arial" w:hAnsi="Arial" w:cs="Arial"/>
                                <w:b/>
                                <w:color w:val="FFFFFF" w:themeColor="background1"/>
                                <w:sz w:val="40"/>
                              </w:rPr>
                            </w:pPr>
                            <w:r>
                              <w:rPr>
                                <w:rFonts w:ascii="Arial" w:hAnsi="Arial" w:cs="Arial"/>
                                <w:b/>
                                <w:color w:val="FFFFFF" w:themeColor="background1"/>
                                <w:sz w:val="52"/>
                              </w:rPr>
                              <w:t>Informe de seguimiento al Proceso de Gestión Financiera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type w14:anchorId="6F7FDFC5" id="_x0000_t202" coordsize="21600,21600" o:spt="202" path="m,l,21600r21600,l21600,xe">
                <v:stroke joinstyle="miter"/>
                <v:path gradientshapeok="t" o:connecttype="rect"/>
              </v:shapetype>
              <v:shape id="Cuadro de texto 2" o:spid="_x0000_s1026" type="#_x0000_t202" style="position:absolute;left:0;text-align:left;margin-left:-62.55pt;margin-top:357.55pt;width:363.1pt;height:206.85pt;z-index:25165619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" filled="f" stroked="f">
                <v:textbox>
                  <w:txbxContent>
                    <w:p w:rsidR="00E509F2" w:rsidRPr="002861EC" w:rsidRDefault="00E509F2" w:rsidP="004E2BA1">
                      <w:pPr>
                        <w:spacing w:line="192" w:lineRule="auto"/>
                        <w:jc w:val="center"/>
                        <w:rPr>
                          <w:rFonts w:ascii="Arial" w:hAnsi="Arial" w:cs="Arial"/>
                          <w:b/>
                          <w:color w:val="FFFFFF" w:themeColor="background1"/>
                          <w:sz w:val="40"/>
                        </w:rPr>
                      </w:pPr>
                      <w:r>
                        <w:rPr>
                          <w:rFonts w:ascii="Arial" w:hAnsi="Arial" w:cs="Arial"/>
                          <w:b/>
                          <w:color w:val="FFFFFF" w:themeColor="background1"/>
                          <w:sz w:val="52"/>
                        </w:rPr>
                        <w:t>Informe de seguimiento al Proceso de Gestión Financiera</w:t>
                      </w:r>
                    </w:p>
                  </w:txbxContent>
                </v:textbox>
                <w10:wrap anchorx="margin"/>
              </v:shape>
            </w:pict>
          </mc:Fallback>
        </mc:AlternateContent>
      </w:r>
      <w:r w:rsidR="008B5162" w:rsidRPr="00E62410">
        <w:rPr>
          <w:rFonts w:ascii="Arial Black" w:hAnsi="Arial Black"/>
          <w:noProof/>
          <w:sz w:val="24"/>
          <w:lang w:eastAsia="es-CO"/>
        </w:rPr>
        <mc:AlternateContent>
          <mc:Choice Requires="wps">
            <w:drawing>
              <wp:anchor distT="45720" distB="45720" distL="114300" distR="114300" simplePos="0" relativeHeight="251659264" behindDoc="0" locked="0" layoutInCell="1" allowOverlap="1" wp14:anchorId="11EC7F4B" wp14:editId="38DC1E36">
                <wp:simplePos x="0" y="0"/>
                <wp:positionH relativeFrom="margin">
                  <wp:posOffset>4483537</wp:posOffset>
                </wp:positionH>
                <wp:positionV relativeFrom="paragraph">
                  <wp:posOffset>7417542</wp:posOffset>
                </wp:positionV>
                <wp:extent cx="1339153" cy="398780"/>
                <wp:effectExtent l="0" t="0" r="0" b="0"/>
                <wp:wrapNone/>
                <wp:docPr id="1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153" cy="398780"/>
                        </a:xfrm>
                        <a:prstGeom prst="rect">
                          <a:avLst/>
                        </a:prstGeom>
                        <a:noFill/>
                        <a:ln w="9525">
                          <a:noFill/>
                          <a:miter lim="800000"/>
                          <a:headEnd/>
                          <a:tailEnd/>
                        </a:ln>
                      </wps:spPr>
                      <wps:txbx>
                        <w:txbxContent>
                          <w:p w:rsidR="00E509F2" w:rsidRPr="008B5162" w:rsidRDefault="00E509F2"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11EC7F4B" id="_x0000_s1027" type="#_x0000_t202" style="position:absolute;left:0;text-align:left;margin-left:353.05pt;margin-top:584.05pt;width:105.45pt;height:31.4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" filled="f" stroked="f">
                <v:textbox>
                  <w:txbxContent>
                    <w:p w:rsidR="00E509F2" w:rsidRPr="008B5162" w:rsidRDefault="00E509F2" w:rsidP="004E2C48">
                      <w:pPr>
                        <w:spacing w:line="192" w:lineRule="auto"/>
                        <w:jc w:val="right"/>
                        <w:rPr>
                          <w:rFonts w:ascii="Arial" w:hAnsi="Arial" w:cs="Arial"/>
                          <w:color w:val="004A84"/>
                          <w:sz w:val="20"/>
                          <w:lang w:val="es-ES"/>
                        </w:rPr>
                      </w:pPr>
                      <w:r w:rsidRPr="008B5162">
                        <w:rPr>
                          <w:rFonts w:ascii="Arial" w:hAnsi="Arial" w:cs="Arial"/>
                          <w:color w:val="004A84"/>
                          <w:sz w:val="24"/>
                          <w:lang w:val="es-ES"/>
                        </w:rPr>
                        <w:t>Oficina de Control Interno</w:t>
                      </w:r>
                    </w:p>
                  </w:txbxContent>
                </v:textbox>
                <w10:wrap anchorx="margin"/>
              </v:shape>
            </w:pict>
          </mc:Fallback>
        </mc:AlternateContent>
      </w:r>
      <w:r w:rsidR="004E2C48" w:rsidRPr="00E62410">
        <w:rPr>
          <w:rFonts w:ascii="Arial Black" w:hAnsi="Arial Black"/>
          <w:noProof/>
          <w:sz w:val="24"/>
          <w:lang w:eastAsia="es-CO"/>
        </w:rPr>
        <mc:AlternateContent>
          <mc:Choice Requires="wps">
            <w:drawing>
              <wp:anchor distT="45720" distB="45720" distL="114300" distR="114300" simplePos="0" relativeHeight="251657216" behindDoc="0" locked="0" layoutInCell="1" allowOverlap="1" wp14:anchorId="5FA73043" wp14:editId="2BF3541B">
                <wp:simplePos x="0" y="0"/>
                <wp:positionH relativeFrom="margin">
                  <wp:posOffset>-161335</wp:posOffset>
                </wp:positionH>
                <wp:positionV relativeFrom="paragraph">
                  <wp:posOffset>7354221</wp:posOffset>
                </wp:positionV>
                <wp:extent cx="1554147" cy="51816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4147" cy="518160"/>
                        </a:xfrm>
                        <a:prstGeom prst="rect">
                          <a:avLst/>
                        </a:prstGeom>
                        <a:noFill/>
                        <a:ln w="9525">
                          <a:noFill/>
                          <a:miter lim="800000"/>
                          <a:headEnd/>
                          <a:tailEnd/>
                        </a:ln>
                      </wps:spPr>
                      <wps:txbx>
                        <w:txbxContent>
                          <w:p w:rsidR="00E509F2" w:rsidRPr="004E2BA1" w:rsidRDefault="00E509F2" w:rsidP="00703D74">
                            <w:pPr>
                              <w:rPr>
                                <w:rFonts w:ascii="Arial" w:hAnsi="Arial" w:cs="Arial"/>
                                <w:b/>
                                <w:color w:val="FFFFFF" w:themeColor="background1"/>
                                <w:sz w:val="28"/>
                                <w:szCs w:val="28"/>
                              </w:rPr>
                            </w:pPr>
                            <w:r w:rsidRPr="002861EC">
                              <w:rPr>
                                <w:rFonts w:ascii="Arial" w:hAnsi="Arial" w:cs="Arial"/>
                                <w:b/>
                                <w:color w:val="FFFFFF" w:themeColor="background1"/>
                                <w:sz w:val="24"/>
                                <w:szCs w:val="24"/>
                              </w:rPr>
                              <w:t>Mes</w:t>
                            </w:r>
                            <w:r>
                              <w:rPr>
                                <w:rFonts w:ascii="Arial" w:hAnsi="Arial" w:cs="Arial"/>
                                <w:b/>
                                <w:color w:val="FFFFFF" w:themeColor="background1"/>
                                <w:sz w:val="24"/>
                                <w:szCs w:val="24"/>
                              </w:rPr>
                              <w:t xml:space="preserve"> </w:t>
                            </w:r>
                            <w:r w:rsidRPr="004E2BA1">
                              <w:rPr>
                                <w:rFonts w:ascii="Arial" w:hAnsi="Arial" w:cs="Arial"/>
                                <w:b/>
                                <w:color w:val="FFFFFF" w:themeColor="background1"/>
                                <w:sz w:val="28"/>
                                <w:szCs w:val="28"/>
                              </w:rPr>
                              <w:t>Noviembre</w:t>
                            </w:r>
                          </w:p>
                          <w:p w:rsidR="00E509F2" w:rsidRPr="004E2BA1" w:rsidRDefault="00E509F2" w:rsidP="00703D74">
                            <w:pPr>
                              <w:rPr>
                                <w:rFonts w:ascii="Arial" w:hAnsi="Arial" w:cs="Arial"/>
                                <w:b/>
                                <w:color w:val="FFFFFF" w:themeColor="background1"/>
                                <w:sz w:val="28"/>
                                <w:szCs w:val="28"/>
                              </w:rPr>
                            </w:pPr>
                            <w:r w:rsidRPr="002861EC">
                              <w:rPr>
                                <w:rFonts w:ascii="Arial" w:hAnsi="Arial" w:cs="Arial"/>
                                <w:b/>
                                <w:color w:val="FFFFFF" w:themeColor="background1"/>
                                <w:sz w:val="24"/>
                                <w:szCs w:val="24"/>
                              </w:rPr>
                              <w:t>Año</w:t>
                            </w:r>
                            <w:r>
                              <w:rPr>
                                <w:rFonts w:ascii="Arial" w:hAnsi="Arial" w:cs="Arial"/>
                                <w:b/>
                                <w:color w:val="FFFFFF" w:themeColor="background1"/>
                                <w:sz w:val="24"/>
                                <w:szCs w:val="24"/>
                              </w:rPr>
                              <w:t xml:space="preserve"> </w:t>
                            </w:r>
                            <w:r w:rsidRPr="004E2BA1">
                              <w:rPr>
                                <w:rFonts w:ascii="Arial" w:hAnsi="Arial" w:cs="Arial"/>
                                <w:b/>
                                <w:color w:val="FFFFFF" w:themeColor="background1"/>
                                <w:sz w:val="28"/>
                                <w:szCs w:val="28"/>
                              </w:rPr>
                              <w:t>2019</w:t>
                            </w:r>
                          </w:p>
                          <w:p w:rsidR="00E509F2" w:rsidRPr="008B5162" w:rsidRDefault="00E509F2" w:rsidP="00781945">
                            <w:pPr>
                              <w:rPr>
                                <w:rFonts w:ascii="Arial" w:hAnsi="Arial" w:cs="Arial"/>
                                <w:color w:val="FFFFFF" w:themeColor="background1"/>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shape w14:anchorId="5FA73043" id="_x0000_s1028" type="#_x0000_t202" style="position:absolute;left:0;text-align:left;margin-left:-12.7pt;margin-top:579.05pt;width:122.35pt;height:40.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" filled="f" stroked="f">
                <v:textbox>
                  <w:txbxContent>
                    <w:p w:rsidR="00E509F2" w:rsidRPr="004E2BA1" w:rsidRDefault="00E509F2" w:rsidP="00703D74">
                      <w:pPr>
                        <w:rPr>
                          <w:rFonts w:ascii="Arial" w:hAnsi="Arial" w:cs="Arial"/>
                          <w:b/>
                          <w:color w:val="FFFFFF" w:themeColor="background1"/>
                          <w:sz w:val="28"/>
                          <w:szCs w:val="28"/>
                        </w:rPr>
                      </w:pPr>
                      <w:r w:rsidRPr="002861EC">
                        <w:rPr>
                          <w:rFonts w:ascii="Arial" w:hAnsi="Arial" w:cs="Arial"/>
                          <w:b/>
                          <w:color w:val="FFFFFF" w:themeColor="background1"/>
                          <w:sz w:val="24"/>
                          <w:szCs w:val="24"/>
                        </w:rPr>
                        <w:t>Mes</w:t>
                      </w:r>
                      <w:r>
                        <w:rPr>
                          <w:rFonts w:ascii="Arial" w:hAnsi="Arial" w:cs="Arial"/>
                          <w:b/>
                          <w:color w:val="FFFFFF" w:themeColor="background1"/>
                          <w:sz w:val="24"/>
                          <w:szCs w:val="24"/>
                        </w:rPr>
                        <w:t xml:space="preserve"> </w:t>
                      </w:r>
                      <w:r w:rsidRPr="004E2BA1">
                        <w:rPr>
                          <w:rFonts w:ascii="Arial" w:hAnsi="Arial" w:cs="Arial"/>
                          <w:b/>
                          <w:color w:val="FFFFFF" w:themeColor="background1"/>
                          <w:sz w:val="28"/>
                          <w:szCs w:val="28"/>
                        </w:rPr>
                        <w:t>Noviembre</w:t>
                      </w:r>
                    </w:p>
                    <w:p w:rsidR="00E509F2" w:rsidRPr="004E2BA1" w:rsidRDefault="00E509F2" w:rsidP="00703D74">
                      <w:pPr>
                        <w:rPr>
                          <w:rFonts w:ascii="Arial" w:hAnsi="Arial" w:cs="Arial"/>
                          <w:b/>
                          <w:color w:val="FFFFFF" w:themeColor="background1"/>
                          <w:sz w:val="28"/>
                          <w:szCs w:val="28"/>
                        </w:rPr>
                      </w:pPr>
                      <w:r w:rsidRPr="002861EC">
                        <w:rPr>
                          <w:rFonts w:ascii="Arial" w:hAnsi="Arial" w:cs="Arial"/>
                          <w:b/>
                          <w:color w:val="FFFFFF" w:themeColor="background1"/>
                          <w:sz w:val="24"/>
                          <w:szCs w:val="24"/>
                        </w:rPr>
                        <w:t>Año</w:t>
                      </w:r>
                      <w:r>
                        <w:rPr>
                          <w:rFonts w:ascii="Arial" w:hAnsi="Arial" w:cs="Arial"/>
                          <w:b/>
                          <w:color w:val="FFFFFF" w:themeColor="background1"/>
                          <w:sz w:val="24"/>
                          <w:szCs w:val="24"/>
                        </w:rPr>
                        <w:t xml:space="preserve"> </w:t>
                      </w:r>
                      <w:r w:rsidRPr="004E2BA1">
                        <w:rPr>
                          <w:rFonts w:ascii="Arial" w:hAnsi="Arial" w:cs="Arial"/>
                          <w:b/>
                          <w:color w:val="FFFFFF" w:themeColor="background1"/>
                          <w:sz w:val="28"/>
                          <w:szCs w:val="28"/>
                        </w:rPr>
                        <w:t>2019</w:t>
                      </w:r>
                    </w:p>
                    <w:p w:rsidR="00E509F2" w:rsidRPr="008B5162" w:rsidRDefault="00E509F2" w:rsidP="00781945">
                      <w:pPr>
                        <w:rPr>
                          <w:rFonts w:ascii="Arial" w:hAnsi="Arial" w:cs="Arial"/>
                          <w:color w:val="FFFFFF" w:themeColor="background1"/>
                          <w:sz w:val="24"/>
                          <w:szCs w:val="24"/>
                        </w:rPr>
                      </w:pPr>
                    </w:p>
                  </w:txbxContent>
                </v:textbox>
                <w10:wrap anchorx="margin"/>
              </v:shape>
            </w:pict>
          </mc:Fallback>
        </mc:AlternateContent>
      </w:r>
      <w:r w:rsidR="006805F6">
        <w:br w:type="page"/>
      </w:r>
    </w:p>
    <w:p w:rsidR="00803A6E" w:rsidRDefault="00FF1F8D" w:rsidP="00FF1F8D">
      <w:pPr>
        <w:jc w:val="center"/>
        <w:rPr>
          <w:rFonts w:ascii="Arial" w:hAnsi="Arial" w:cs="Arial"/>
          <w:b/>
        </w:rPr>
      </w:pPr>
      <w:r w:rsidRPr="00FF1F8D">
        <w:rPr>
          <w:rFonts w:ascii="Arial" w:hAnsi="Arial" w:cs="Arial"/>
          <w:b/>
        </w:rPr>
        <w:lastRenderedPageBreak/>
        <w:t>INTRODUCCIÓN</w:t>
      </w:r>
    </w:p>
    <w:p w:rsidR="00FF1F8D" w:rsidRDefault="00FF1F8D" w:rsidP="00FF1F8D">
      <w:pPr>
        <w:jc w:val="center"/>
        <w:rPr>
          <w:rFonts w:ascii="Arial" w:hAnsi="Arial" w:cs="Arial"/>
          <w:b/>
        </w:rPr>
      </w:pPr>
    </w:p>
    <w:p w:rsidR="00FF1F8D" w:rsidRDefault="00FF1F8D" w:rsidP="00FF1F8D">
      <w:pPr>
        <w:jc w:val="center"/>
        <w:rPr>
          <w:rFonts w:ascii="Arial" w:hAnsi="Arial" w:cs="Arial"/>
          <w:b/>
        </w:rPr>
      </w:pPr>
    </w:p>
    <w:p w:rsidR="00FF1F8D" w:rsidRPr="00FF1F8D" w:rsidRDefault="00FF1F8D" w:rsidP="00FF1F8D">
      <w:pPr>
        <w:jc w:val="center"/>
        <w:rPr>
          <w:rFonts w:ascii="Arial" w:hAnsi="Arial" w:cs="Arial"/>
          <w:b/>
        </w:rPr>
      </w:pPr>
    </w:p>
    <w:p w:rsidR="00FF1F8D" w:rsidRDefault="00FF1F8D" w:rsidP="00FF1F8D">
      <w:pPr>
        <w:jc w:val="both"/>
        <w:rPr>
          <w:rFonts w:ascii="Arial" w:hAnsi="Arial" w:cs="Arial"/>
        </w:rPr>
      </w:pPr>
      <w:r>
        <w:rPr>
          <w:rFonts w:ascii="Arial" w:hAnsi="Arial" w:cs="Arial"/>
        </w:rPr>
        <w:t xml:space="preserve">El Grupo de Gestión Financiera </w:t>
      </w:r>
      <w:r w:rsidRPr="00FF1F8D">
        <w:rPr>
          <w:rFonts w:ascii="Arial" w:hAnsi="Arial" w:cs="Arial"/>
        </w:rPr>
        <w:t xml:space="preserve">tiene como </w:t>
      </w:r>
      <w:r>
        <w:rPr>
          <w:rFonts w:ascii="Arial" w:hAnsi="Arial" w:cs="Arial"/>
        </w:rPr>
        <w:t>objetivo</w:t>
      </w:r>
      <w:r w:rsidRPr="00FF1F8D">
        <w:rPr>
          <w:rFonts w:ascii="Arial" w:hAnsi="Arial" w:cs="Arial"/>
        </w:rPr>
        <w:t xml:space="preserve"> </w:t>
      </w:r>
      <w:r>
        <w:rPr>
          <w:rFonts w:ascii="Arial" w:hAnsi="Arial" w:cs="Arial"/>
        </w:rPr>
        <w:t>fundamental g</w:t>
      </w:r>
      <w:r w:rsidRPr="00FF1F8D">
        <w:rPr>
          <w:rFonts w:ascii="Arial" w:hAnsi="Arial" w:cs="Arial"/>
        </w:rPr>
        <w:t>estionar durante cada vigencia fiscal los recursos financieros necesarios para el cumplimiento de la misión institucional, reflejando la realidad económica, social y ambiental, de acuerdo a los requisitos del servicio y la normativa vigente en la materia</w:t>
      </w:r>
      <w:r>
        <w:rPr>
          <w:rFonts w:ascii="Arial" w:hAnsi="Arial" w:cs="Arial"/>
        </w:rPr>
        <w:t>, para lo cual ha definido en el Sistema Integrado de Gestión</w:t>
      </w:r>
      <w:r w:rsidR="008D1747">
        <w:rPr>
          <w:rFonts w:ascii="Arial" w:hAnsi="Arial" w:cs="Arial"/>
        </w:rPr>
        <w:t xml:space="preserve"> cuatro </w:t>
      </w:r>
      <w:r w:rsidR="006C661D">
        <w:rPr>
          <w:rFonts w:ascii="Arial" w:hAnsi="Arial" w:cs="Arial"/>
        </w:rPr>
        <w:t xml:space="preserve">(4) </w:t>
      </w:r>
      <w:r w:rsidR="008D1747">
        <w:rPr>
          <w:rFonts w:ascii="Arial" w:hAnsi="Arial" w:cs="Arial"/>
        </w:rPr>
        <w:t>procedimientos, el manual de políticas contables, el m</w:t>
      </w:r>
      <w:r w:rsidR="008D1747" w:rsidRPr="008D1747">
        <w:rPr>
          <w:rFonts w:ascii="Arial" w:hAnsi="Arial" w:cs="Arial"/>
        </w:rPr>
        <w:t>anual de usuario radicación y trámite para el pago de honorarios de los contratos de prestación de servicios profesionales y de apoyo a la gestión</w:t>
      </w:r>
      <w:r w:rsidR="002D5E48">
        <w:rPr>
          <w:rFonts w:ascii="Arial" w:hAnsi="Arial" w:cs="Arial"/>
        </w:rPr>
        <w:t>, los riesgos y los indicadores.</w:t>
      </w:r>
    </w:p>
    <w:p w:rsidR="00FF1F8D" w:rsidRDefault="00FF1F8D" w:rsidP="00FF1F8D">
      <w:pPr>
        <w:jc w:val="both"/>
        <w:rPr>
          <w:rFonts w:ascii="Arial" w:hAnsi="Arial" w:cs="Arial"/>
        </w:rPr>
      </w:pPr>
    </w:p>
    <w:p w:rsidR="00FF1F8D" w:rsidRDefault="00BE234C" w:rsidP="00FF1F8D">
      <w:pPr>
        <w:jc w:val="both"/>
        <w:rPr>
          <w:rFonts w:ascii="Arial" w:hAnsi="Arial" w:cs="Arial"/>
        </w:rPr>
      </w:pPr>
      <w:r>
        <w:rPr>
          <w:rFonts w:ascii="Arial" w:hAnsi="Arial" w:cs="Arial"/>
        </w:rPr>
        <w:t>L</w:t>
      </w:r>
      <w:r w:rsidR="00FF1F8D" w:rsidRPr="00FF1F8D">
        <w:rPr>
          <w:rFonts w:ascii="Arial" w:hAnsi="Arial" w:cs="Arial"/>
        </w:rPr>
        <w:t>as políticas contables son lineamientos generales de carácter transversal,</w:t>
      </w:r>
      <w:r w:rsidR="00FF1F8D">
        <w:rPr>
          <w:rFonts w:ascii="Arial" w:hAnsi="Arial" w:cs="Arial"/>
        </w:rPr>
        <w:t xml:space="preserve"> </w:t>
      </w:r>
      <w:r w:rsidR="00FF1F8D" w:rsidRPr="00FF1F8D">
        <w:rPr>
          <w:rFonts w:ascii="Arial" w:hAnsi="Arial" w:cs="Arial"/>
        </w:rPr>
        <w:t>con incidencia directa sobre la orientación del proceso contable de Función Pública.</w:t>
      </w:r>
      <w:r w:rsidR="00FF1F8D">
        <w:rPr>
          <w:rFonts w:ascii="Arial" w:hAnsi="Arial" w:cs="Arial"/>
        </w:rPr>
        <w:t xml:space="preserve"> </w:t>
      </w:r>
      <w:r w:rsidR="00FF1F8D" w:rsidRPr="00FF1F8D">
        <w:rPr>
          <w:rFonts w:ascii="Arial" w:hAnsi="Arial" w:cs="Arial"/>
        </w:rPr>
        <w:t xml:space="preserve">Estas políticas se componen de las normas </w:t>
      </w:r>
      <w:r w:rsidR="002D5E48">
        <w:rPr>
          <w:rFonts w:ascii="Arial" w:hAnsi="Arial" w:cs="Arial"/>
        </w:rPr>
        <w:t xml:space="preserve">expedidas </w:t>
      </w:r>
      <w:r w:rsidR="00FF1F8D" w:rsidRPr="00FF1F8D">
        <w:rPr>
          <w:rFonts w:ascii="Arial" w:hAnsi="Arial" w:cs="Arial"/>
        </w:rPr>
        <w:t>por la Contaduría General de la</w:t>
      </w:r>
      <w:r w:rsidR="00FF1F8D">
        <w:rPr>
          <w:rFonts w:ascii="Arial" w:hAnsi="Arial" w:cs="Arial"/>
        </w:rPr>
        <w:t xml:space="preserve"> </w:t>
      </w:r>
      <w:r w:rsidR="00FF1F8D" w:rsidRPr="00FF1F8D">
        <w:rPr>
          <w:rFonts w:ascii="Arial" w:hAnsi="Arial" w:cs="Arial"/>
        </w:rPr>
        <w:t>Nación y por los aspectos específicos de los hechos económicos ocurridos en Función</w:t>
      </w:r>
      <w:r w:rsidR="00FF1F8D">
        <w:rPr>
          <w:rFonts w:ascii="Arial" w:hAnsi="Arial" w:cs="Arial"/>
        </w:rPr>
        <w:t xml:space="preserve"> </w:t>
      </w:r>
      <w:r w:rsidR="00FF1F8D" w:rsidRPr="00FF1F8D">
        <w:rPr>
          <w:rFonts w:ascii="Arial" w:hAnsi="Arial" w:cs="Arial"/>
        </w:rPr>
        <w:t>Pública, lo cual es aplicado de manera uniforme para transacciones, hechos económicos</w:t>
      </w:r>
      <w:r w:rsidR="00FF1F8D">
        <w:rPr>
          <w:rFonts w:ascii="Arial" w:hAnsi="Arial" w:cs="Arial"/>
        </w:rPr>
        <w:t xml:space="preserve"> </w:t>
      </w:r>
      <w:r w:rsidR="00FF1F8D" w:rsidRPr="00FF1F8D">
        <w:rPr>
          <w:rFonts w:ascii="Arial" w:hAnsi="Arial" w:cs="Arial"/>
        </w:rPr>
        <w:t xml:space="preserve">y operaciones de similares características, según lo </w:t>
      </w:r>
      <w:r w:rsidR="002D5E48">
        <w:rPr>
          <w:rFonts w:ascii="Arial" w:hAnsi="Arial" w:cs="Arial"/>
        </w:rPr>
        <w:t>establecido</w:t>
      </w:r>
      <w:r w:rsidR="00FF1F8D" w:rsidRPr="00FF1F8D">
        <w:rPr>
          <w:rFonts w:ascii="Arial" w:hAnsi="Arial" w:cs="Arial"/>
        </w:rPr>
        <w:t xml:space="preserve"> en la Resolución </w:t>
      </w:r>
      <w:r w:rsidR="00E509F2">
        <w:rPr>
          <w:rFonts w:ascii="Arial" w:hAnsi="Arial" w:cs="Arial"/>
        </w:rPr>
        <w:t xml:space="preserve">No. </w:t>
      </w:r>
      <w:r w:rsidR="00FF1F8D" w:rsidRPr="00FF1F8D">
        <w:rPr>
          <w:rFonts w:ascii="Arial" w:hAnsi="Arial" w:cs="Arial"/>
        </w:rPr>
        <w:t>193</w:t>
      </w:r>
      <w:r w:rsidR="00FF1F8D">
        <w:rPr>
          <w:rFonts w:ascii="Arial" w:hAnsi="Arial" w:cs="Arial"/>
        </w:rPr>
        <w:t xml:space="preserve"> </w:t>
      </w:r>
      <w:r w:rsidR="002D5E48">
        <w:rPr>
          <w:rFonts w:ascii="Arial" w:hAnsi="Arial" w:cs="Arial"/>
        </w:rPr>
        <w:t>de 2016; aspectos que trataremos en el presente seguimiento.</w:t>
      </w:r>
    </w:p>
    <w:p w:rsidR="00803A6E" w:rsidRPr="00FF1F8D" w:rsidRDefault="00803A6E" w:rsidP="00FF1F8D">
      <w:pPr>
        <w:jc w:val="both"/>
        <w:rPr>
          <w:rFonts w:ascii="Arial" w:hAnsi="Arial" w:cs="Arial"/>
        </w:rPr>
      </w:pPr>
    </w:p>
    <w:p w:rsidR="00803A6E" w:rsidRDefault="00803A6E"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CD0FC9" w:rsidRDefault="00CD0FC9"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Default="002D5E48" w:rsidP="00FF1F8D">
      <w:pPr>
        <w:jc w:val="both"/>
        <w:rPr>
          <w:rFonts w:ascii="Arial" w:hAnsi="Arial" w:cs="Arial"/>
        </w:rPr>
      </w:pPr>
    </w:p>
    <w:p w:rsidR="002D5E48" w:rsidRPr="007A61AE" w:rsidRDefault="002D5E48" w:rsidP="002D5E48">
      <w:pPr>
        <w:pStyle w:val="Prrafodelista"/>
        <w:numPr>
          <w:ilvl w:val="0"/>
          <w:numId w:val="19"/>
        </w:numPr>
        <w:jc w:val="both"/>
        <w:rPr>
          <w:rFonts w:ascii="Arial" w:hAnsi="Arial" w:cs="Arial"/>
          <w:b/>
        </w:rPr>
      </w:pPr>
      <w:r w:rsidRPr="007A61AE">
        <w:rPr>
          <w:rFonts w:ascii="Arial" w:hAnsi="Arial" w:cs="Arial"/>
          <w:b/>
        </w:rPr>
        <w:lastRenderedPageBreak/>
        <w:t>Ejecución Presupuestal</w:t>
      </w:r>
    </w:p>
    <w:p w:rsidR="00BE234C" w:rsidRPr="003C23A5" w:rsidRDefault="001C20B5" w:rsidP="00BE234C">
      <w:pPr>
        <w:pStyle w:val="NormalWeb"/>
        <w:jc w:val="both"/>
        <w:rPr>
          <w:rFonts w:ascii="Arial" w:hAnsi="Arial" w:cs="Arial"/>
          <w:sz w:val="22"/>
          <w:szCs w:val="22"/>
          <w:lang w:val="es-ES_tradnl"/>
        </w:rPr>
      </w:pPr>
      <w:r>
        <w:rPr>
          <w:rFonts w:ascii="Arial" w:hAnsi="Arial" w:cs="Arial"/>
          <w:sz w:val="22"/>
          <w:szCs w:val="22"/>
          <w:lang w:val="es-ES_tradnl"/>
        </w:rPr>
        <w:t>L</w:t>
      </w:r>
      <w:r w:rsidR="00BE234C" w:rsidRPr="003C23A5">
        <w:rPr>
          <w:rFonts w:ascii="Arial" w:hAnsi="Arial" w:cs="Arial"/>
          <w:sz w:val="22"/>
          <w:szCs w:val="22"/>
          <w:lang w:val="es-ES_tradnl"/>
        </w:rPr>
        <w:t xml:space="preserve">a ejecución presupuestal acumulada al 31 de octubre de 2019 es del </w:t>
      </w:r>
      <w:r w:rsidR="003C23A5" w:rsidRPr="003C23A5">
        <w:rPr>
          <w:rFonts w:ascii="Arial" w:hAnsi="Arial" w:cs="Arial"/>
          <w:sz w:val="22"/>
          <w:szCs w:val="22"/>
          <w:lang w:val="es-ES_tradnl"/>
        </w:rPr>
        <w:t>75.22</w:t>
      </w:r>
      <w:r w:rsidR="00BE234C" w:rsidRPr="003C23A5">
        <w:rPr>
          <w:rFonts w:ascii="Arial" w:hAnsi="Arial" w:cs="Arial"/>
          <w:sz w:val="22"/>
          <w:szCs w:val="22"/>
          <w:lang w:val="es-ES_tradnl"/>
        </w:rPr>
        <w:t>%</w:t>
      </w:r>
      <w:r w:rsidR="00E509F2">
        <w:rPr>
          <w:rFonts w:ascii="Arial" w:hAnsi="Arial" w:cs="Arial"/>
          <w:sz w:val="22"/>
          <w:szCs w:val="22"/>
          <w:lang w:val="es-ES_tradnl"/>
        </w:rPr>
        <w:t>,</w:t>
      </w:r>
      <w:r w:rsidR="00BE234C" w:rsidRPr="003C23A5">
        <w:rPr>
          <w:rFonts w:ascii="Arial" w:hAnsi="Arial" w:cs="Arial"/>
          <w:sz w:val="22"/>
          <w:szCs w:val="22"/>
          <w:lang w:val="es-ES_tradnl"/>
        </w:rPr>
        <w:t xml:space="preserve"> discriminada en el siguiente cuadro:</w:t>
      </w:r>
    </w:p>
    <w:p w:rsidR="002D5E48" w:rsidRDefault="003C23A5" w:rsidP="005963DC">
      <w:pPr>
        <w:ind w:right="-234"/>
        <w:jc w:val="both"/>
        <w:rPr>
          <w:rFonts w:ascii="Arial" w:hAnsi="Arial" w:cs="Arial"/>
        </w:rPr>
      </w:pPr>
      <w:r w:rsidRPr="003C23A5">
        <w:rPr>
          <w:noProof/>
          <w:lang w:eastAsia="es-CO"/>
        </w:rPr>
        <w:drawing>
          <wp:inline distT="0" distB="0" distL="0" distR="0" wp14:anchorId="0399EDBB" wp14:editId="4341C958">
            <wp:extent cx="5814204" cy="2387793"/>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7753" cy="2393357"/>
                    </a:xfrm>
                    <a:prstGeom prst="rect">
                      <a:avLst/>
                    </a:prstGeom>
                    <a:noFill/>
                    <a:ln>
                      <a:noFill/>
                    </a:ln>
                  </pic:spPr>
                </pic:pic>
              </a:graphicData>
            </a:graphic>
          </wp:inline>
        </w:drawing>
      </w:r>
    </w:p>
    <w:p w:rsidR="003C23A5" w:rsidRPr="003C23A5" w:rsidRDefault="003C23A5" w:rsidP="003C23A5">
      <w:pPr>
        <w:pStyle w:val="NormalWeb"/>
        <w:jc w:val="both"/>
        <w:rPr>
          <w:rFonts w:ascii="Arial" w:hAnsi="Arial" w:cs="Arial"/>
          <w:sz w:val="22"/>
          <w:szCs w:val="22"/>
          <w:lang w:val="es-ES_tradnl"/>
        </w:rPr>
      </w:pPr>
      <w:r w:rsidRPr="003C23A5">
        <w:rPr>
          <w:rFonts w:ascii="Arial" w:hAnsi="Arial" w:cs="Arial"/>
          <w:sz w:val="22"/>
          <w:szCs w:val="22"/>
          <w:lang w:val="es-ES_tradnl"/>
        </w:rPr>
        <w:t>La ejecución por gastos de Funcionamiento (gastos</w:t>
      </w:r>
      <w:r>
        <w:rPr>
          <w:rFonts w:ascii="Arial" w:hAnsi="Arial" w:cs="Arial"/>
          <w:sz w:val="22"/>
          <w:szCs w:val="22"/>
          <w:lang w:val="es-ES_tradnl"/>
        </w:rPr>
        <w:t xml:space="preserve"> de personal</w:t>
      </w:r>
      <w:r w:rsidRPr="003C23A5">
        <w:rPr>
          <w:rFonts w:ascii="Arial" w:hAnsi="Arial" w:cs="Arial"/>
          <w:sz w:val="22"/>
          <w:szCs w:val="22"/>
          <w:lang w:val="es-ES_tradnl"/>
        </w:rPr>
        <w:t xml:space="preserve">, gastos generales y transferencias corrientes) fue del </w:t>
      </w:r>
      <w:r>
        <w:rPr>
          <w:rFonts w:ascii="Arial" w:hAnsi="Arial" w:cs="Arial"/>
          <w:sz w:val="22"/>
          <w:szCs w:val="22"/>
          <w:lang w:val="es-ES_tradnl"/>
        </w:rPr>
        <w:t>77.31</w:t>
      </w:r>
      <w:r w:rsidRPr="003C23A5">
        <w:rPr>
          <w:rFonts w:ascii="Arial" w:hAnsi="Arial" w:cs="Arial"/>
          <w:sz w:val="22"/>
          <w:szCs w:val="22"/>
          <w:lang w:val="es-ES_tradnl"/>
        </w:rPr>
        <w:t>%, descrita a continuación:</w:t>
      </w:r>
    </w:p>
    <w:p w:rsidR="003C23A5" w:rsidRPr="003C23A5" w:rsidRDefault="003C23A5" w:rsidP="003C23A5">
      <w:pPr>
        <w:pStyle w:val="NormalWeb"/>
        <w:jc w:val="both"/>
        <w:rPr>
          <w:rFonts w:ascii="Arial" w:hAnsi="Arial" w:cs="Arial"/>
          <w:sz w:val="22"/>
          <w:szCs w:val="22"/>
          <w:lang w:val="es-ES_tradnl"/>
        </w:rPr>
      </w:pPr>
      <w:r w:rsidRPr="00CD0FC9">
        <w:rPr>
          <w:rFonts w:ascii="Arial" w:hAnsi="Arial" w:cs="Arial"/>
          <w:i/>
          <w:sz w:val="22"/>
          <w:szCs w:val="22"/>
          <w:lang w:val="es-ES_tradnl"/>
        </w:rPr>
        <w:t>Gastos personales</w:t>
      </w:r>
      <w:r w:rsidRPr="003C23A5">
        <w:rPr>
          <w:rFonts w:ascii="Arial" w:hAnsi="Arial" w:cs="Arial"/>
          <w:b/>
          <w:sz w:val="22"/>
          <w:szCs w:val="22"/>
          <w:lang w:val="es-ES_tradnl"/>
        </w:rPr>
        <w:t>:</w:t>
      </w:r>
      <w:r w:rsidRPr="003C23A5">
        <w:rPr>
          <w:rFonts w:ascii="Arial" w:hAnsi="Arial" w:cs="Arial"/>
          <w:sz w:val="22"/>
          <w:szCs w:val="22"/>
          <w:lang w:val="es-ES_tradnl"/>
        </w:rPr>
        <w:t xml:space="preserve"> Comprende los rubros de sueldos de personal de nómina, prima técnica, horas extras, días festivos, indemnización por vacaciones, servicios personales indirectos y contribuciones inherentes a la nómina. La ejecución por este concepto es del </w:t>
      </w:r>
      <w:r>
        <w:rPr>
          <w:rFonts w:ascii="Arial" w:hAnsi="Arial" w:cs="Arial"/>
          <w:sz w:val="22"/>
          <w:szCs w:val="22"/>
          <w:lang w:val="es-ES_tradnl"/>
        </w:rPr>
        <w:t>78.47</w:t>
      </w:r>
      <w:r w:rsidRPr="003C23A5">
        <w:rPr>
          <w:rFonts w:ascii="Arial" w:hAnsi="Arial" w:cs="Arial"/>
          <w:sz w:val="22"/>
          <w:szCs w:val="22"/>
          <w:lang w:val="es-ES_tradnl"/>
        </w:rPr>
        <w:t>%.</w:t>
      </w:r>
    </w:p>
    <w:p w:rsidR="003C23A5" w:rsidRPr="003C23A5" w:rsidRDefault="003C23A5" w:rsidP="003C23A5">
      <w:pPr>
        <w:pStyle w:val="NormalWeb"/>
        <w:jc w:val="both"/>
        <w:rPr>
          <w:rFonts w:ascii="Arial" w:hAnsi="Arial" w:cs="Arial"/>
          <w:sz w:val="22"/>
          <w:szCs w:val="22"/>
          <w:lang w:val="es-ES_tradnl"/>
        </w:rPr>
      </w:pPr>
      <w:r w:rsidRPr="00CD0FC9">
        <w:rPr>
          <w:rFonts w:ascii="Arial" w:hAnsi="Arial" w:cs="Arial"/>
          <w:i/>
          <w:sz w:val="22"/>
          <w:szCs w:val="22"/>
          <w:lang w:val="es-ES_tradnl"/>
        </w:rPr>
        <w:t>Gastos Generales</w:t>
      </w:r>
      <w:r w:rsidRPr="003C23A5">
        <w:rPr>
          <w:rFonts w:ascii="Arial" w:hAnsi="Arial" w:cs="Arial"/>
          <w:b/>
          <w:sz w:val="22"/>
          <w:szCs w:val="22"/>
          <w:lang w:val="es-ES_tradnl"/>
        </w:rPr>
        <w:t>:</w:t>
      </w:r>
      <w:r w:rsidRPr="003C23A5">
        <w:rPr>
          <w:rFonts w:ascii="Arial" w:hAnsi="Arial" w:cs="Arial"/>
          <w:sz w:val="22"/>
          <w:szCs w:val="22"/>
          <w:lang w:val="es-ES_tradnl"/>
        </w:rPr>
        <w:t xml:space="preserve"> Corresponde los conceptos de impuestos y multas y adquisición de bienes y servicios. La ejecución al mes de octubre se encuentra en el </w:t>
      </w:r>
      <w:r>
        <w:rPr>
          <w:rFonts w:ascii="Arial" w:hAnsi="Arial" w:cs="Arial"/>
          <w:sz w:val="22"/>
          <w:szCs w:val="22"/>
          <w:lang w:val="es-ES_tradnl"/>
        </w:rPr>
        <w:t>76.78</w:t>
      </w:r>
      <w:r w:rsidRPr="003C23A5">
        <w:rPr>
          <w:rFonts w:ascii="Arial" w:hAnsi="Arial" w:cs="Arial"/>
          <w:sz w:val="22"/>
          <w:szCs w:val="22"/>
          <w:lang w:val="es-ES_tradnl"/>
        </w:rPr>
        <w:t>%</w:t>
      </w:r>
    </w:p>
    <w:p w:rsidR="003C23A5" w:rsidRPr="003C23A5" w:rsidRDefault="003C23A5" w:rsidP="003C23A5">
      <w:pPr>
        <w:pStyle w:val="NormalWeb"/>
        <w:jc w:val="both"/>
        <w:rPr>
          <w:rFonts w:ascii="Arial" w:hAnsi="Arial" w:cs="Arial"/>
          <w:sz w:val="22"/>
          <w:szCs w:val="22"/>
          <w:lang w:val="es-ES_tradnl"/>
        </w:rPr>
      </w:pPr>
      <w:r w:rsidRPr="00CD0FC9">
        <w:rPr>
          <w:rFonts w:ascii="Arial" w:hAnsi="Arial" w:cs="Arial"/>
          <w:i/>
          <w:sz w:val="22"/>
          <w:szCs w:val="22"/>
          <w:lang w:val="es-ES_tradnl"/>
        </w:rPr>
        <w:t>Transferencias corrientes</w:t>
      </w:r>
      <w:r w:rsidRPr="003C23A5">
        <w:rPr>
          <w:rFonts w:ascii="Arial" w:hAnsi="Arial" w:cs="Arial"/>
          <w:b/>
          <w:sz w:val="22"/>
          <w:szCs w:val="22"/>
          <w:lang w:val="es-ES_tradnl"/>
        </w:rPr>
        <w:t xml:space="preserve">: </w:t>
      </w:r>
      <w:r w:rsidRPr="003C23A5">
        <w:rPr>
          <w:rFonts w:ascii="Arial" w:hAnsi="Arial" w:cs="Arial"/>
          <w:sz w:val="22"/>
          <w:szCs w:val="22"/>
          <w:lang w:val="es-ES_tradnl"/>
        </w:rPr>
        <w:t xml:space="preserve">El rubro registra una ejecución del </w:t>
      </w:r>
      <w:r>
        <w:rPr>
          <w:rFonts w:ascii="Arial" w:hAnsi="Arial" w:cs="Arial"/>
          <w:sz w:val="22"/>
          <w:szCs w:val="22"/>
          <w:lang w:val="es-ES_tradnl"/>
        </w:rPr>
        <w:t>49.91</w:t>
      </w:r>
      <w:r w:rsidRPr="003C23A5">
        <w:rPr>
          <w:rFonts w:ascii="Arial" w:hAnsi="Arial" w:cs="Arial"/>
          <w:sz w:val="22"/>
          <w:szCs w:val="22"/>
          <w:lang w:val="es-ES_tradnl"/>
        </w:rPr>
        <w:t xml:space="preserve">%, el cual se encuentra dispuesto para el manejo presupuestal de la cuota de auditaje, las mesadas pensionales y las sentencias y conciliaciones. </w:t>
      </w:r>
    </w:p>
    <w:p w:rsidR="001C20B5" w:rsidRDefault="001C20B5" w:rsidP="001C20B5">
      <w:pPr>
        <w:pStyle w:val="NormalWeb"/>
        <w:jc w:val="both"/>
        <w:rPr>
          <w:rFonts w:ascii="Arial" w:hAnsi="Arial" w:cs="Arial"/>
          <w:sz w:val="22"/>
          <w:szCs w:val="22"/>
          <w:lang w:val="es-ES_tradnl"/>
        </w:rPr>
      </w:pPr>
      <w:r w:rsidRPr="001C20B5">
        <w:rPr>
          <w:rFonts w:ascii="Arial" w:hAnsi="Arial" w:cs="Arial"/>
          <w:sz w:val="22"/>
          <w:szCs w:val="22"/>
          <w:lang w:val="es-ES_tradnl"/>
        </w:rPr>
        <w:t xml:space="preserve">La ejecución </w:t>
      </w:r>
      <w:r>
        <w:rPr>
          <w:rFonts w:ascii="Arial" w:hAnsi="Arial" w:cs="Arial"/>
          <w:sz w:val="22"/>
          <w:szCs w:val="22"/>
          <w:lang w:val="es-ES_tradnl"/>
        </w:rPr>
        <w:t xml:space="preserve">presupuestal </w:t>
      </w:r>
      <w:r w:rsidRPr="001C20B5">
        <w:rPr>
          <w:rFonts w:ascii="Arial" w:hAnsi="Arial" w:cs="Arial"/>
          <w:sz w:val="22"/>
          <w:szCs w:val="22"/>
          <w:lang w:val="es-ES_tradnl"/>
        </w:rPr>
        <w:t xml:space="preserve">por inversión al mes de octubre es del </w:t>
      </w:r>
      <w:r>
        <w:rPr>
          <w:rFonts w:ascii="Arial" w:hAnsi="Arial" w:cs="Arial"/>
          <w:sz w:val="22"/>
          <w:szCs w:val="22"/>
          <w:lang w:val="es-ES_tradnl"/>
        </w:rPr>
        <w:t>73.13</w:t>
      </w:r>
      <w:r w:rsidRPr="001C20B5">
        <w:rPr>
          <w:rFonts w:ascii="Arial" w:hAnsi="Arial" w:cs="Arial"/>
          <w:sz w:val="22"/>
          <w:szCs w:val="22"/>
          <w:lang w:val="es-ES_tradnl"/>
        </w:rPr>
        <w:t xml:space="preserve">%, representado en los siguientes </w:t>
      </w:r>
      <w:r>
        <w:rPr>
          <w:rFonts w:ascii="Arial" w:hAnsi="Arial" w:cs="Arial"/>
          <w:sz w:val="22"/>
          <w:szCs w:val="22"/>
          <w:lang w:val="es-ES_tradnl"/>
        </w:rPr>
        <w:t>proyectos</w:t>
      </w:r>
      <w:r w:rsidRPr="001C20B5">
        <w:rPr>
          <w:rFonts w:ascii="Arial" w:hAnsi="Arial" w:cs="Arial"/>
          <w:sz w:val="22"/>
          <w:szCs w:val="22"/>
          <w:lang w:val="es-ES_tradnl"/>
        </w:rPr>
        <w:t xml:space="preserve">:  </w:t>
      </w:r>
    </w:p>
    <w:p w:rsidR="001C20B5" w:rsidRDefault="001C20B5" w:rsidP="00CD0FC9">
      <w:pPr>
        <w:pStyle w:val="NormalWeb"/>
        <w:numPr>
          <w:ilvl w:val="0"/>
          <w:numId w:val="21"/>
        </w:numPr>
        <w:jc w:val="both"/>
        <w:rPr>
          <w:rFonts w:ascii="Arial" w:hAnsi="Arial" w:cs="Arial"/>
          <w:sz w:val="22"/>
          <w:szCs w:val="22"/>
          <w:lang w:val="es-ES_tradnl"/>
        </w:rPr>
      </w:pPr>
      <w:r>
        <w:rPr>
          <w:rFonts w:ascii="Arial" w:hAnsi="Arial" w:cs="Arial"/>
          <w:sz w:val="22"/>
          <w:szCs w:val="22"/>
          <w:lang w:val="es-ES_tradnl"/>
        </w:rPr>
        <w:t>D</w:t>
      </w:r>
      <w:r w:rsidRPr="001C20B5">
        <w:rPr>
          <w:rFonts w:ascii="Arial" w:hAnsi="Arial" w:cs="Arial"/>
          <w:sz w:val="22"/>
          <w:szCs w:val="22"/>
          <w:lang w:val="es-ES_tradnl"/>
        </w:rPr>
        <w:t xml:space="preserve">esarrollo y fortalecimiento de capacidades de las entidades territoriales de la </w:t>
      </w:r>
      <w:r w:rsidR="00E509F2" w:rsidRPr="001C20B5">
        <w:rPr>
          <w:rFonts w:ascii="Arial" w:hAnsi="Arial" w:cs="Arial"/>
          <w:sz w:val="22"/>
          <w:szCs w:val="22"/>
          <w:lang w:val="es-ES_tradnl"/>
        </w:rPr>
        <w:t>circunscripción Nacional</w:t>
      </w:r>
      <w:r w:rsidR="00E509F2">
        <w:rPr>
          <w:rFonts w:ascii="Arial" w:hAnsi="Arial" w:cs="Arial"/>
          <w:sz w:val="22"/>
          <w:szCs w:val="22"/>
          <w:lang w:val="es-ES_tradnl"/>
        </w:rPr>
        <w:t>.</w:t>
      </w:r>
    </w:p>
    <w:p w:rsidR="001C20B5" w:rsidRDefault="001C20B5" w:rsidP="00CD0FC9">
      <w:pPr>
        <w:pStyle w:val="NormalWeb"/>
        <w:numPr>
          <w:ilvl w:val="0"/>
          <w:numId w:val="21"/>
        </w:numPr>
        <w:jc w:val="both"/>
        <w:rPr>
          <w:rFonts w:ascii="Arial" w:hAnsi="Arial" w:cs="Arial"/>
          <w:sz w:val="22"/>
          <w:szCs w:val="22"/>
          <w:lang w:val="es-ES_tradnl"/>
        </w:rPr>
      </w:pPr>
      <w:r>
        <w:rPr>
          <w:rFonts w:ascii="Arial" w:hAnsi="Arial" w:cs="Arial"/>
          <w:sz w:val="22"/>
          <w:szCs w:val="22"/>
          <w:lang w:val="es-ES_tradnl"/>
        </w:rPr>
        <w:t>I</w:t>
      </w:r>
      <w:r w:rsidRPr="001C20B5">
        <w:rPr>
          <w:rFonts w:ascii="Arial" w:hAnsi="Arial" w:cs="Arial"/>
          <w:sz w:val="22"/>
          <w:szCs w:val="22"/>
          <w:lang w:val="es-ES_tradnl"/>
        </w:rPr>
        <w:t xml:space="preserve">mplementación y fortalecimiento de las políticas lideradas por función pública a </w:t>
      </w:r>
      <w:r w:rsidR="00E509F2" w:rsidRPr="001C20B5">
        <w:rPr>
          <w:rFonts w:ascii="Arial" w:hAnsi="Arial" w:cs="Arial"/>
          <w:sz w:val="22"/>
          <w:szCs w:val="22"/>
          <w:lang w:val="es-ES_tradnl"/>
        </w:rPr>
        <w:t>nivel Nacional</w:t>
      </w:r>
      <w:r w:rsidR="00E509F2">
        <w:rPr>
          <w:rFonts w:ascii="Arial" w:hAnsi="Arial" w:cs="Arial"/>
          <w:sz w:val="22"/>
          <w:szCs w:val="22"/>
          <w:lang w:val="es-ES_tradnl"/>
        </w:rPr>
        <w:t>.</w:t>
      </w:r>
    </w:p>
    <w:p w:rsidR="001C20B5" w:rsidRDefault="001C20B5" w:rsidP="00CD0FC9">
      <w:pPr>
        <w:pStyle w:val="NormalWeb"/>
        <w:numPr>
          <w:ilvl w:val="0"/>
          <w:numId w:val="21"/>
        </w:numPr>
        <w:jc w:val="both"/>
        <w:rPr>
          <w:rFonts w:ascii="Arial" w:hAnsi="Arial" w:cs="Arial"/>
          <w:sz w:val="22"/>
          <w:szCs w:val="22"/>
          <w:lang w:val="es-ES_tradnl"/>
        </w:rPr>
      </w:pPr>
      <w:r>
        <w:rPr>
          <w:rFonts w:ascii="Arial" w:hAnsi="Arial" w:cs="Arial"/>
          <w:sz w:val="22"/>
          <w:szCs w:val="22"/>
          <w:lang w:val="es-ES_tradnl"/>
        </w:rPr>
        <w:t>Me</w:t>
      </w:r>
      <w:r w:rsidRPr="001C20B5">
        <w:rPr>
          <w:rFonts w:ascii="Arial" w:hAnsi="Arial" w:cs="Arial"/>
          <w:sz w:val="22"/>
          <w:szCs w:val="22"/>
          <w:lang w:val="es-ES_tradnl"/>
        </w:rPr>
        <w:t xml:space="preserve">joramiento de la imagen y funcionalidad del edificio sede del </w:t>
      </w:r>
      <w:r w:rsidR="00CD0FC9">
        <w:rPr>
          <w:rFonts w:ascii="Arial" w:hAnsi="Arial" w:cs="Arial"/>
          <w:sz w:val="22"/>
          <w:szCs w:val="22"/>
          <w:lang w:val="es-ES_tradnl"/>
        </w:rPr>
        <w:t>D</w:t>
      </w:r>
      <w:r w:rsidRPr="001C20B5">
        <w:rPr>
          <w:rFonts w:ascii="Arial" w:hAnsi="Arial" w:cs="Arial"/>
          <w:sz w:val="22"/>
          <w:szCs w:val="22"/>
          <w:lang w:val="es-ES_tradnl"/>
        </w:rPr>
        <w:t xml:space="preserve">epartamento </w:t>
      </w:r>
      <w:r w:rsidR="00CD0FC9">
        <w:rPr>
          <w:rFonts w:ascii="Arial" w:hAnsi="Arial" w:cs="Arial"/>
          <w:sz w:val="22"/>
          <w:szCs w:val="22"/>
          <w:lang w:val="es-ES_tradnl"/>
        </w:rPr>
        <w:t>A</w:t>
      </w:r>
      <w:r w:rsidRPr="001C20B5">
        <w:rPr>
          <w:rFonts w:ascii="Arial" w:hAnsi="Arial" w:cs="Arial"/>
          <w:sz w:val="22"/>
          <w:szCs w:val="22"/>
          <w:lang w:val="es-ES_tradnl"/>
        </w:rPr>
        <w:t xml:space="preserve">dministrativo de la </w:t>
      </w:r>
      <w:r w:rsidR="00CD0FC9">
        <w:rPr>
          <w:rFonts w:ascii="Arial" w:hAnsi="Arial" w:cs="Arial"/>
          <w:sz w:val="22"/>
          <w:szCs w:val="22"/>
          <w:lang w:val="es-ES_tradnl"/>
        </w:rPr>
        <w:t>F</w:t>
      </w:r>
      <w:r w:rsidRPr="001C20B5">
        <w:rPr>
          <w:rFonts w:ascii="Arial" w:hAnsi="Arial" w:cs="Arial"/>
          <w:sz w:val="22"/>
          <w:szCs w:val="22"/>
          <w:lang w:val="es-ES_tradnl"/>
        </w:rPr>
        <w:t xml:space="preserve">unción </w:t>
      </w:r>
      <w:r w:rsidR="00E509F2">
        <w:rPr>
          <w:rFonts w:ascii="Arial" w:hAnsi="Arial" w:cs="Arial"/>
          <w:sz w:val="22"/>
          <w:szCs w:val="22"/>
          <w:lang w:val="es-ES_tradnl"/>
        </w:rPr>
        <w:t>P</w:t>
      </w:r>
      <w:r w:rsidR="00E509F2" w:rsidRPr="001C20B5">
        <w:rPr>
          <w:rFonts w:ascii="Arial" w:hAnsi="Arial" w:cs="Arial"/>
          <w:sz w:val="22"/>
          <w:szCs w:val="22"/>
          <w:lang w:val="es-ES_tradnl"/>
        </w:rPr>
        <w:t>ública Bogotá</w:t>
      </w:r>
      <w:r w:rsidR="00E509F2">
        <w:rPr>
          <w:rFonts w:ascii="Arial" w:hAnsi="Arial" w:cs="Arial"/>
          <w:sz w:val="22"/>
          <w:szCs w:val="22"/>
          <w:lang w:val="es-ES_tradnl"/>
        </w:rPr>
        <w:t>.</w:t>
      </w:r>
    </w:p>
    <w:p w:rsidR="001C20B5" w:rsidRPr="001C20B5" w:rsidRDefault="00CD0FC9" w:rsidP="00CD0FC9">
      <w:pPr>
        <w:pStyle w:val="NormalWeb"/>
        <w:numPr>
          <w:ilvl w:val="0"/>
          <w:numId w:val="21"/>
        </w:numPr>
        <w:jc w:val="both"/>
        <w:rPr>
          <w:rFonts w:ascii="Arial" w:hAnsi="Arial" w:cs="Arial"/>
          <w:sz w:val="22"/>
          <w:szCs w:val="22"/>
          <w:lang w:val="es-ES_tradnl"/>
        </w:rPr>
      </w:pPr>
      <w:r>
        <w:rPr>
          <w:rFonts w:ascii="Arial" w:hAnsi="Arial" w:cs="Arial"/>
          <w:sz w:val="22"/>
          <w:szCs w:val="22"/>
          <w:lang w:val="es-ES_tradnl"/>
        </w:rPr>
        <w:t>M</w:t>
      </w:r>
      <w:r w:rsidRPr="001C20B5">
        <w:rPr>
          <w:rFonts w:ascii="Arial" w:hAnsi="Arial" w:cs="Arial"/>
          <w:sz w:val="22"/>
          <w:szCs w:val="22"/>
          <w:lang w:val="es-ES_tradnl"/>
        </w:rPr>
        <w:t xml:space="preserve">ejoramiento de la gestión de las políticas públicas a través de las </w:t>
      </w:r>
      <w:r w:rsidR="00E509F2">
        <w:rPr>
          <w:rFonts w:ascii="Arial" w:hAnsi="Arial" w:cs="Arial"/>
          <w:sz w:val="22"/>
          <w:szCs w:val="22"/>
          <w:lang w:val="es-ES_tradnl"/>
        </w:rPr>
        <w:t>TIC</w:t>
      </w:r>
      <w:r w:rsidR="00E509F2" w:rsidRPr="001C20B5">
        <w:rPr>
          <w:rFonts w:ascii="Arial" w:hAnsi="Arial" w:cs="Arial"/>
          <w:sz w:val="22"/>
          <w:szCs w:val="22"/>
          <w:lang w:val="es-ES_tradnl"/>
        </w:rPr>
        <w:t xml:space="preserve"> Nacional</w:t>
      </w:r>
      <w:r w:rsidR="00E509F2">
        <w:rPr>
          <w:rFonts w:ascii="Arial" w:hAnsi="Arial" w:cs="Arial"/>
          <w:sz w:val="22"/>
          <w:szCs w:val="22"/>
          <w:lang w:val="es-ES_tradnl"/>
        </w:rPr>
        <w:t>.</w:t>
      </w:r>
    </w:p>
    <w:p w:rsidR="002D5E48" w:rsidRPr="003C23A5" w:rsidRDefault="00CD0FC9" w:rsidP="00FF1F8D">
      <w:pPr>
        <w:jc w:val="both"/>
        <w:rPr>
          <w:rFonts w:ascii="Arial" w:hAnsi="Arial" w:cs="Arial"/>
          <w:lang w:val="es-ES_tradnl"/>
        </w:rPr>
      </w:pPr>
      <w:r>
        <w:rPr>
          <w:rFonts w:ascii="Arial" w:hAnsi="Arial" w:cs="Arial"/>
          <w:lang w:val="es-ES_tradnl"/>
        </w:rPr>
        <w:t xml:space="preserve">Según la información reportada en el </w:t>
      </w:r>
      <w:r>
        <w:rPr>
          <w:rFonts w:ascii="Arial" w:eastAsia="Times New Roman" w:hAnsi="Arial" w:cs="Arial"/>
          <w:lang w:val="es-ES_tradnl"/>
        </w:rPr>
        <w:t>Sistema de Seguimiento a Proyectos de Inversión – SPI, a continuación se presentan los avances de cada proyecto de inversión al mes de septiembre de 2019 (aún no hay registros con corte al mes de octubre):</w:t>
      </w:r>
    </w:p>
    <w:p w:rsidR="002D5E48" w:rsidRDefault="002D5E48" w:rsidP="00FF1F8D">
      <w:pPr>
        <w:jc w:val="both"/>
        <w:rPr>
          <w:rFonts w:ascii="Arial" w:hAnsi="Arial" w:cs="Arial"/>
          <w:lang w:val="es-ES_tradnl"/>
        </w:rPr>
      </w:pPr>
    </w:p>
    <w:tbl>
      <w:tblPr>
        <w:tblStyle w:val="Tabladelista4-nfasis11"/>
        <w:tblW w:w="0" w:type="auto"/>
        <w:tblLayout w:type="fixed"/>
        <w:tblLook w:val="04A0" w:firstRow="1" w:lastRow="0" w:firstColumn="1" w:lastColumn="0" w:noHBand="0" w:noVBand="1"/>
      </w:tblPr>
      <w:tblGrid>
        <w:gridCol w:w="4077"/>
        <w:gridCol w:w="1701"/>
        <w:gridCol w:w="1134"/>
        <w:gridCol w:w="1273"/>
        <w:gridCol w:w="1027"/>
      </w:tblGrid>
      <w:tr w:rsidR="00466E18" w:rsidRPr="00BE1C4F" w:rsidTr="00233F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rsidR="00466E18" w:rsidRPr="00185684" w:rsidRDefault="00466E18" w:rsidP="00466E18">
            <w:pPr>
              <w:jc w:val="center"/>
              <w:rPr>
                <w:rFonts w:cs="Arial"/>
                <w:sz w:val="20"/>
                <w:szCs w:val="20"/>
                <w:lang w:val="es-ES_tradnl"/>
              </w:rPr>
            </w:pPr>
            <w:r w:rsidRPr="00185684">
              <w:rPr>
                <w:rFonts w:cs="Arial"/>
                <w:sz w:val="20"/>
                <w:szCs w:val="20"/>
                <w:lang w:val="es-ES_tradnl"/>
              </w:rPr>
              <w:lastRenderedPageBreak/>
              <w:t>NOMBRE</w:t>
            </w:r>
            <w:r w:rsidR="00E8263B">
              <w:rPr>
                <w:rFonts w:cs="Arial"/>
                <w:sz w:val="20"/>
                <w:szCs w:val="20"/>
                <w:lang w:val="es-ES_tradnl"/>
              </w:rPr>
              <w:t xml:space="preserve"> DEL</w:t>
            </w:r>
            <w:r w:rsidRPr="00185684">
              <w:rPr>
                <w:rFonts w:cs="Arial"/>
                <w:sz w:val="20"/>
                <w:szCs w:val="20"/>
                <w:lang w:val="es-ES_tradnl"/>
              </w:rPr>
              <w:t xml:space="preserve"> PROYECTO</w:t>
            </w:r>
          </w:p>
        </w:tc>
        <w:tc>
          <w:tcPr>
            <w:tcW w:w="1701" w:type="dxa"/>
          </w:tcPr>
          <w:p w:rsidR="00466E18" w:rsidRPr="00185684" w:rsidRDefault="00466E18" w:rsidP="00466E18">
            <w:pPr>
              <w:jc w:val="center"/>
              <w:cnfStyle w:val="100000000000" w:firstRow="1" w:lastRow="0" w:firstColumn="0" w:lastColumn="0" w:oddVBand="0" w:evenVBand="0" w:oddHBand="0" w:evenHBand="0" w:firstRowFirstColumn="0" w:firstRowLastColumn="0" w:lastRowFirstColumn="0" w:lastRowLastColumn="0"/>
              <w:rPr>
                <w:rFonts w:cs="Arial"/>
                <w:sz w:val="20"/>
                <w:szCs w:val="20"/>
                <w:lang w:val="es-ES_tradnl"/>
              </w:rPr>
            </w:pPr>
            <w:r w:rsidRPr="00185684">
              <w:rPr>
                <w:rFonts w:cs="Arial"/>
                <w:sz w:val="20"/>
                <w:szCs w:val="20"/>
                <w:lang w:val="es-ES_tradnl"/>
              </w:rPr>
              <w:t>INVERSIÓN</w:t>
            </w:r>
          </w:p>
        </w:tc>
        <w:tc>
          <w:tcPr>
            <w:tcW w:w="1134" w:type="dxa"/>
          </w:tcPr>
          <w:p w:rsidR="00466E18" w:rsidRPr="00185684" w:rsidRDefault="00BE1C4F" w:rsidP="00E8263B">
            <w:pPr>
              <w:jc w:val="center"/>
              <w:cnfStyle w:val="100000000000" w:firstRow="1" w:lastRow="0" w:firstColumn="0" w:lastColumn="0" w:oddVBand="0" w:evenVBand="0" w:oddHBand="0" w:evenHBand="0" w:firstRowFirstColumn="0" w:firstRowLastColumn="0" w:lastRowFirstColumn="0" w:lastRowLastColumn="0"/>
              <w:rPr>
                <w:rFonts w:cs="Arial"/>
                <w:sz w:val="20"/>
                <w:szCs w:val="20"/>
                <w:lang w:val="es-ES_tradnl"/>
              </w:rPr>
            </w:pPr>
            <w:r w:rsidRPr="00185684">
              <w:rPr>
                <w:rFonts w:cs="Arial"/>
                <w:sz w:val="20"/>
                <w:szCs w:val="20"/>
                <w:lang w:val="es-ES_tradnl"/>
              </w:rPr>
              <w:t>AVANCE F</w:t>
            </w:r>
            <w:r w:rsidR="00E8263B">
              <w:rPr>
                <w:rFonts w:cs="Arial"/>
                <w:sz w:val="20"/>
                <w:szCs w:val="20"/>
                <w:lang w:val="es-ES_tradnl"/>
              </w:rPr>
              <w:t>Í</w:t>
            </w:r>
            <w:r w:rsidRPr="00185684">
              <w:rPr>
                <w:rFonts w:cs="Arial"/>
                <w:sz w:val="20"/>
                <w:szCs w:val="20"/>
                <w:lang w:val="es-ES_tradnl"/>
              </w:rPr>
              <w:t>SICO</w:t>
            </w:r>
          </w:p>
        </w:tc>
        <w:tc>
          <w:tcPr>
            <w:tcW w:w="1273" w:type="dxa"/>
          </w:tcPr>
          <w:p w:rsidR="00466E18" w:rsidRPr="00185684" w:rsidRDefault="00BE1C4F" w:rsidP="00BE1C4F">
            <w:pPr>
              <w:jc w:val="center"/>
              <w:cnfStyle w:val="100000000000" w:firstRow="1" w:lastRow="0" w:firstColumn="0" w:lastColumn="0" w:oddVBand="0" w:evenVBand="0" w:oddHBand="0" w:evenHBand="0" w:firstRowFirstColumn="0" w:firstRowLastColumn="0" w:lastRowFirstColumn="0" w:lastRowLastColumn="0"/>
              <w:rPr>
                <w:rFonts w:cs="Arial"/>
                <w:sz w:val="20"/>
                <w:szCs w:val="20"/>
                <w:lang w:val="es-ES_tradnl"/>
              </w:rPr>
            </w:pPr>
            <w:r w:rsidRPr="00185684">
              <w:rPr>
                <w:rFonts w:cs="Arial"/>
                <w:sz w:val="20"/>
                <w:szCs w:val="20"/>
                <w:lang w:val="es-ES_tradnl"/>
              </w:rPr>
              <w:t>AVANCE FINANCIERO</w:t>
            </w:r>
          </w:p>
        </w:tc>
        <w:tc>
          <w:tcPr>
            <w:tcW w:w="1027" w:type="dxa"/>
          </w:tcPr>
          <w:p w:rsidR="00466E18" w:rsidRPr="00185684" w:rsidRDefault="00E8263B" w:rsidP="00BE1C4F">
            <w:pPr>
              <w:jc w:val="center"/>
              <w:cnfStyle w:val="100000000000" w:firstRow="1" w:lastRow="0" w:firstColumn="0" w:lastColumn="0" w:oddVBand="0" w:evenVBand="0" w:oddHBand="0" w:evenHBand="0" w:firstRowFirstColumn="0" w:firstRowLastColumn="0" w:lastRowFirstColumn="0" w:lastRowLastColumn="0"/>
              <w:rPr>
                <w:rFonts w:cs="Arial"/>
                <w:sz w:val="20"/>
                <w:szCs w:val="20"/>
                <w:lang w:val="es-ES_tradnl"/>
              </w:rPr>
            </w:pPr>
            <w:r>
              <w:rPr>
                <w:rFonts w:cs="Arial"/>
                <w:sz w:val="20"/>
                <w:szCs w:val="20"/>
                <w:lang w:val="es-ES_tradnl"/>
              </w:rPr>
              <w:t>AVANCE GESTIÓ</w:t>
            </w:r>
            <w:r w:rsidR="00BE1C4F" w:rsidRPr="00185684">
              <w:rPr>
                <w:rFonts w:cs="Arial"/>
                <w:sz w:val="20"/>
                <w:szCs w:val="20"/>
                <w:lang w:val="es-ES_tradnl"/>
              </w:rPr>
              <w:t>N</w:t>
            </w:r>
          </w:p>
        </w:tc>
      </w:tr>
      <w:tr w:rsidR="00466E18" w:rsidTr="00233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rsidR="00466E18" w:rsidRPr="00185684" w:rsidRDefault="00466E18" w:rsidP="00FF1F8D">
            <w:pPr>
              <w:jc w:val="both"/>
              <w:rPr>
                <w:rFonts w:cs="Arial"/>
                <w:b w:val="0"/>
                <w:sz w:val="18"/>
                <w:szCs w:val="18"/>
                <w:lang w:val="es-ES_tradnl"/>
              </w:rPr>
            </w:pPr>
            <w:r w:rsidRPr="00185684">
              <w:rPr>
                <w:b w:val="0"/>
                <w:sz w:val="18"/>
                <w:szCs w:val="18"/>
              </w:rPr>
              <w:t>DESARROLLO Y FORTALECIMIENTO DE CAPACIDADES DE LAS ENTIDADES TERRITORIALES DE LA CIRCUNSCRIPCIÓN NACIONAL</w:t>
            </w:r>
          </w:p>
        </w:tc>
        <w:tc>
          <w:tcPr>
            <w:tcW w:w="1701" w:type="dxa"/>
          </w:tcPr>
          <w:p w:rsidR="00BE1C4F" w:rsidRPr="00BE1C4F" w:rsidRDefault="00BE1C4F" w:rsidP="00BE1C4F">
            <w:pPr>
              <w:jc w:val="center"/>
              <w:cnfStyle w:val="000000100000" w:firstRow="0" w:lastRow="0" w:firstColumn="0" w:lastColumn="0" w:oddVBand="0" w:evenVBand="0" w:oddHBand="1" w:evenHBand="0" w:firstRowFirstColumn="0" w:firstRowLastColumn="0" w:lastRowFirstColumn="0" w:lastRowLastColumn="0"/>
              <w:rPr>
                <w:sz w:val="18"/>
                <w:szCs w:val="18"/>
              </w:rPr>
            </w:pPr>
          </w:p>
          <w:p w:rsidR="00466E18" w:rsidRPr="00BE1C4F" w:rsidRDefault="00BE1C4F" w:rsidP="00BE1C4F">
            <w:pPr>
              <w:jc w:val="center"/>
              <w:cnfStyle w:val="000000100000" w:firstRow="0" w:lastRow="0" w:firstColumn="0" w:lastColumn="0" w:oddVBand="0" w:evenVBand="0" w:oddHBand="1" w:evenHBand="0" w:firstRowFirstColumn="0" w:firstRowLastColumn="0" w:lastRowFirstColumn="0" w:lastRowLastColumn="0"/>
              <w:rPr>
                <w:rFonts w:cs="Arial"/>
                <w:sz w:val="18"/>
                <w:szCs w:val="18"/>
                <w:lang w:val="es-ES_tradnl"/>
              </w:rPr>
            </w:pPr>
            <w:r w:rsidRPr="00BE1C4F">
              <w:rPr>
                <w:sz w:val="18"/>
                <w:szCs w:val="18"/>
              </w:rPr>
              <w:t>$</w:t>
            </w:r>
            <w:r w:rsidR="00E8263B">
              <w:rPr>
                <w:sz w:val="18"/>
                <w:szCs w:val="18"/>
              </w:rPr>
              <w:t xml:space="preserve"> </w:t>
            </w:r>
            <w:r w:rsidR="00466E18" w:rsidRPr="00BE1C4F">
              <w:rPr>
                <w:sz w:val="18"/>
                <w:szCs w:val="18"/>
              </w:rPr>
              <w:t>2.807.125.145</w:t>
            </w:r>
          </w:p>
        </w:tc>
        <w:tc>
          <w:tcPr>
            <w:tcW w:w="1134" w:type="dxa"/>
          </w:tcPr>
          <w:p w:rsidR="00BE1C4F" w:rsidRPr="00BE1C4F" w:rsidRDefault="00BE1C4F" w:rsidP="00BE1C4F">
            <w:pPr>
              <w:jc w:val="center"/>
              <w:cnfStyle w:val="000000100000" w:firstRow="0" w:lastRow="0" w:firstColumn="0" w:lastColumn="0" w:oddVBand="0" w:evenVBand="0" w:oddHBand="1" w:evenHBand="0" w:firstRowFirstColumn="0" w:firstRowLastColumn="0" w:lastRowFirstColumn="0" w:lastRowLastColumn="0"/>
              <w:rPr>
                <w:rFonts w:cs="Arial"/>
                <w:sz w:val="18"/>
                <w:szCs w:val="18"/>
                <w:lang w:val="es-ES_tradnl"/>
              </w:rPr>
            </w:pPr>
          </w:p>
          <w:p w:rsidR="00466E18" w:rsidRPr="00BE1C4F" w:rsidRDefault="00BE1C4F" w:rsidP="00BE1C4F">
            <w:pPr>
              <w:jc w:val="center"/>
              <w:cnfStyle w:val="000000100000" w:firstRow="0" w:lastRow="0" w:firstColumn="0" w:lastColumn="0" w:oddVBand="0" w:evenVBand="0" w:oddHBand="1" w:evenHBand="0" w:firstRowFirstColumn="0" w:firstRowLastColumn="0" w:lastRowFirstColumn="0" w:lastRowLastColumn="0"/>
              <w:rPr>
                <w:rFonts w:cs="Arial"/>
                <w:sz w:val="18"/>
                <w:szCs w:val="18"/>
                <w:lang w:val="es-ES_tradnl"/>
              </w:rPr>
            </w:pPr>
            <w:r w:rsidRPr="00BE1C4F">
              <w:rPr>
                <w:rFonts w:cs="Arial"/>
                <w:sz w:val="18"/>
                <w:szCs w:val="18"/>
                <w:lang w:val="es-ES_tradnl"/>
              </w:rPr>
              <w:t>1%</w:t>
            </w:r>
          </w:p>
        </w:tc>
        <w:tc>
          <w:tcPr>
            <w:tcW w:w="1273" w:type="dxa"/>
          </w:tcPr>
          <w:p w:rsidR="00BE1C4F" w:rsidRPr="00BE1C4F" w:rsidRDefault="00BE1C4F" w:rsidP="00BE1C4F">
            <w:pPr>
              <w:jc w:val="center"/>
              <w:cnfStyle w:val="000000100000" w:firstRow="0" w:lastRow="0" w:firstColumn="0" w:lastColumn="0" w:oddVBand="0" w:evenVBand="0" w:oddHBand="1" w:evenHBand="0" w:firstRowFirstColumn="0" w:firstRowLastColumn="0" w:lastRowFirstColumn="0" w:lastRowLastColumn="0"/>
              <w:rPr>
                <w:rFonts w:cs="Arial"/>
                <w:sz w:val="18"/>
                <w:szCs w:val="18"/>
                <w:lang w:val="es-ES_tradnl"/>
              </w:rPr>
            </w:pPr>
          </w:p>
          <w:p w:rsidR="00466E18" w:rsidRPr="00BE1C4F" w:rsidRDefault="00BE1C4F" w:rsidP="00BE1C4F">
            <w:pPr>
              <w:jc w:val="center"/>
              <w:cnfStyle w:val="000000100000" w:firstRow="0" w:lastRow="0" w:firstColumn="0" w:lastColumn="0" w:oddVBand="0" w:evenVBand="0" w:oddHBand="1" w:evenHBand="0" w:firstRowFirstColumn="0" w:firstRowLastColumn="0" w:lastRowFirstColumn="0" w:lastRowLastColumn="0"/>
              <w:rPr>
                <w:rFonts w:cs="Arial"/>
                <w:sz w:val="18"/>
                <w:szCs w:val="18"/>
                <w:lang w:val="es-ES_tradnl"/>
              </w:rPr>
            </w:pPr>
            <w:r w:rsidRPr="00BE1C4F">
              <w:rPr>
                <w:rFonts w:cs="Arial"/>
                <w:sz w:val="18"/>
                <w:szCs w:val="18"/>
                <w:lang w:val="es-ES_tradnl"/>
              </w:rPr>
              <w:t>56.37%</w:t>
            </w:r>
          </w:p>
        </w:tc>
        <w:tc>
          <w:tcPr>
            <w:tcW w:w="1027" w:type="dxa"/>
          </w:tcPr>
          <w:p w:rsidR="00BE1C4F" w:rsidRPr="00BE1C4F" w:rsidRDefault="00BE1C4F" w:rsidP="00BE1C4F">
            <w:pPr>
              <w:jc w:val="center"/>
              <w:cnfStyle w:val="000000100000" w:firstRow="0" w:lastRow="0" w:firstColumn="0" w:lastColumn="0" w:oddVBand="0" w:evenVBand="0" w:oddHBand="1" w:evenHBand="0" w:firstRowFirstColumn="0" w:firstRowLastColumn="0" w:lastRowFirstColumn="0" w:lastRowLastColumn="0"/>
              <w:rPr>
                <w:rFonts w:cs="Arial"/>
                <w:sz w:val="18"/>
                <w:szCs w:val="18"/>
                <w:lang w:val="es-ES_tradnl"/>
              </w:rPr>
            </w:pPr>
          </w:p>
          <w:p w:rsidR="00466E18" w:rsidRPr="00BE1C4F" w:rsidRDefault="00BE1C4F" w:rsidP="00BE1C4F">
            <w:pPr>
              <w:jc w:val="center"/>
              <w:cnfStyle w:val="000000100000" w:firstRow="0" w:lastRow="0" w:firstColumn="0" w:lastColumn="0" w:oddVBand="0" w:evenVBand="0" w:oddHBand="1" w:evenHBand="0" w:firstRowFirstColumn="0" w:firstRowLastColumn="0" w:lastRowFirstColumn="0" w:lastRowLastColumn="0"/>
              <w:rPr>
                <w:rFonts w:cs="Arial"/>
                <w:sz w:val="18"/>
                <w:szCs w:val="18"/>
                <w:lang w:val="es-ES_tradnl"/>
              </w:rPr>
            </w:pPr>
            <w:r w:rsidRPr="00BE1C4F">
              <w:rPr>
                <w:rFonts w:cs="Arial"/>
                <w:sz w:val="18"/>
                <w:szCs w:val="18"/>
                <w:lang w:val="es-ES_tradnl"/>
              </w:rPr>
              <w:t>126%</w:t>
            </w:r>
          </w:p>
        </w:tc>
      </w:tr>
      <w:tr w:rsidR="00466E18" w:rsidTr="00233F0F">
        <w:tc>
          <w:tcPr>
            <w:cnfStyle w:val="001000000000" w:firstRow="0" w:lastRow="0" w:firstColumn="1" w:lastColumn="0" w:oddVBand="0" w:evenVBand="0" w:oddHBand="0" w:evenHBand="0" w:firstRowFirstColumn="0" w:firstRowLastColumn="0" w:lastRowFirstColumn="0" w:lastRowLastColumn="0"/>
            <w:tcW w:w="4077" w:type="dxa"/>
          </w:tcPr>
          <w:p w:rsidR="00466E18" w:rsidRPr="00185684" w:rsidRDefault="00BE1C4F" w:rsidP="00FF1F8D">
            <w:pPr>
              <w:jc w:val="both"/>
              <w:rPr>
                <w:rFonts w:ascii="Arial" w:hAnsi="Arial" w:cs="Arial"/>
                <w:b w:val="0"/>
                <w:lang w:val="es-ES_tradnl"/>
              </w:rPr>
            </w:pPr>
            <w:r w:rsidRPr="00185684">
              <w:rPr>
                <w:b w:val="0"/>
                <w:sz w:val="18"/>
                <w:szCs w:val="18"/>
              </w:rPr>
              <w:t>IMPLEMENTACIÓN Y FORTALECIMIENTO DE LAS POLÍTICAS LIDERADAS POR FUNCIÓN PÚBLICA A NIVEL NACIONAL</w:t>
            </w:r>
          </w:p>
        </w:tc>
        <w:tc>
          <w:tcPr>
            <w:tcW w:w="1701" w:type="dxa"/>
          </w:tcPr>
          <w:p w:rsidR="00BE1C4F" w:rsidRDefault="00BE1C4F" w:rsidP="00BE1C4F">
            <w:pPr>
              <w:jc w:val="center"/>
              <w:cnfStyle w:val="000000000000" w:firstRow="0" w:lastRow="0" w:firstColumn="0" w:lastColumn="0" w:oddVBand="0" w:evenVBand="0" w:oddHBand="0" w:evenHBand="0" w:firstRowFirstColumn="0" w:firstRowLastColumn="0" w:lastRowFirstColumn="0" w:lastRowLastColumn="0"/>
              <w:rPr>
                <w:sz w:val="18"/>
                <w:szCs w:val="18"/>
              </w:rPr>
            </w:pPr>
          </w:p>
          <w:p w:rsidR="00466E18" w:rsidRDefault="00BE1C4F" w:rsidP="00233F0F">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Pr>
                <w:sz w:val="18"/>
                <w:szCs w:val="18"/>
              </w:rPr>
              <w:t>$</w:t>
            </w:r>
            <w:r w:rsidRPr="00BE1C4F">
              <w:rPr>
                <w:sz w:val="18"/>
                <w:szCs w:val="18"/>
              </w:rPr>
              <w:t>10</w:t>
            </w:r>
            <w:r w:rsidR="00233F0F">
              <w:rPr>
                <w:sz w:val="18"/>
                <w:szCs w:val="18"/>
              </w:rPr>
              <w:t>.</w:t>
            </w:r>
            <w:r w:rsidRPr="00BE1C4F">
              <w:rPr>
                <w:sz w:val="18"/>
                <w:szCs w:val="18"/>
              </w:rPr>
              <w:t>374</w:t>
            </w:r>
            <w:r w:rsidR="00233F0F">
              <w:rPr>
                <w:sz w:val="18"/>
                <w:szCs w:val="18"/>
              </w:rPr>
              <w:t>.</w:t>
            </w:r>
            <w:r w:rsidRPr="00BE1C4F">
              <w:rPr>
                <w:sz w:val="18"/>
                <w:szCs w:val="18"/>
              </w:rPr>
              <w:t>330</w:t>
            </w:r>
            <w:r w:rsidR="00233F0F">
              <w:rPr>
                <w:sz w:val="18"/>
                <w:szCs w:val="18"/>
              </w:rPr>
              <w:t>.793</w:t>
            </w:r>
          </w:p>
        </w:tc>
        <w:tc>
          <w:tcPr>
            <w:tcW w:w="1134" w:type="dxa"/>
          </w:tcPr>
          <w:p w:rsidR="00BE1C4F" w:rsidRDefault="00BE1C4F" w:rsidP="00BE1C4F">
            <w:pPr>
              <w:jc w:val="center"/>
              <w:cnfStyle w:val="000000000000" w:firstRow="0" w:lastRow="0" w:firstColumn="0" w:lastColumn="0" w:oddVBand="0" w:evenVBand="0" w:oddHBand="0" w:evenHBand="0" w:firstRowFirstColumn="0" w:firstRowLastColumn="0" w:lastRowFirstColumn="0" w:lastRowLastColumn="0"/>
              <w:rPr>
                <w:rFonts w:cs="Arial"/>
                <w:sz w:val="18"/>
                <w:szCs w:val="18"/>
                <w:lang w:val="es-ES_tradnl"/>
              </w:rPr>
            </w:pPr>
          </w:p>
          <w:p w:rsidR="00466E18" w:rsidRPr="00BE1C4F" w:rsidRDefault="00BE1C4F" w:rsidP="00BE1C4F">
            <w:pPr>
              <w:jc w:val="center"/>
              <w:cnfStyle w:val="000000000000" w:firstRow="0" w:lastRow="0" w:firstColumn="0" w:lastColumn="0" w:oddVBand="0" w:evenVBand="0" w:oddHBand="0" w:evenHBand="0" w:firstRowFirstColumn="0" w:firstRowLastColumn="0" w:lastRowFirstColumn="0" w:lastRowLastColumn="0"/>
              <w:rPr>
                <w:rFonts w:cs="Arial"/>
                <w:sz w:val="18"/>
                <w:szCs w:val="18"/>
                <w:lang w:val="es-ES_tradnl"/>
              </w:rPr>
            </w:pPr>
            <w:r w:rsidRPr="00BE1C4F">
              <w:rPr>
                <w:rFonts w:cs="Arial"/>
                <w:sz w:val="18"/>
                <w:szCs w:val="18"/>
                <w:lang w:val="es-ES_tradnl"/>
              </w:rPr>
              <w:t>41%</w:t>
            </w:r>
          </w:p>
        </w:tc>
        <w:tc>
          <w:tcPr>
            <w:tcW w:w="1273" w:type="dxa"/>
          </w:tcPr>
          <w:p w:rsidR="00BE1C4F" w:rsidRDefault="00BE1C4F" w:rsidP="00BE1C4F">
            <w:pPr>
              <w:jc w:val="center"/>
              <w:cnfStyle w:val="000000000000" w:firstRow="0" w:lastRow="0" w:firstColumn="0" w:lastColumn="0" w:oddVBand="0" w:evenVBand="0" w:oddHBand="0" w:evenHBand="0" w:firstRowFirstColumn="0" w:firstRowLastColumn="0" w:lastRowFirstColumn="0" w:lastRowLastColumn="0"/>
              <w:rPr>
                <w:rFonts w:cs="Arial"/>
                <w:sz w:val="18"/>
                <w:szCs w:val="18"/>
                <w:lang w:val="es-ES_tradnl"/>
              </w:rPr>
            </w:pPr>
          </w:p>
          <w:p w:rsidR="00466E18" w:rsidRPr="00BE1C4F" w:rsidRDefault="00BE1C4F" w:rsidP="00BE1C4F">
            <w:pPr>
              <w:jc w:val="center"/>
              <w:cnfStyle w:val="000000000000" w:firstRow="0" w:lastRow="0" w:firstColumn="0" w:lastColumn="0" w:oddVBand="0" w:evenVBand="0" w:oddHBand="0" w:evenHBand="0" w:firstRowFirstColumn="0" w:firstRowLastColumn="0" w:lastRowFirstColumn="0" w:lastRowLastColumn="0"/>
              <w:rPr>
                <w:rFonts w:cs="Arial"/>
                <w:sz w:val="18"/>
                <w:szCs w:val="18"/>
                <w:lang w:val="es-ES_tradnl"/>
              </w:rPr>
            </w:pPr>
            <w:r w:rsidRPr="00BE1C4F">
              <w:rPr>
                <w:rFonts w:cs="Arial"/>
                <w:sz w:val="18"/>
                <w:szCs w:val="18"/>
                <w:lang w:val="es-ES_tradnl"/>
              </w:rPr>
              <w:t>49.32%</w:t>
            </w:r>
          </w:p>
        </w:tc>
        <w:tc>
          <w:tcPr>
            <w:tcW w:w="1027" w:type="dxa"/>
          </w:tcPr>
          <w:p w:rsidR="00BE1C4F" w:rsidRDefault="00BE1C4F" w:rsidP="00BE1C4F">
            <w:pPr>
              <w:jc w:val="center"/>
              <w:cnfStyle w:val="000000000000" w:firstRow="0" w:lastRow="0" w:firstColumn="0" w:lastColumn="0" w:oddVBand="0" w:evenVBand="0" w:oddHBand="0" w:evenHBand="0" w:firstRowFirstColumn="0" w:firstRowLastColumn="0" w:lastRowFirstColumn="0" w:lastRowLastColumn="0"/>
              <w:rPr>
                <w:rFonts w:cs="Arial"/>
                <w:sz w:val="18"/>
                <w:szCs w:val="18"/>
                <w:lang w:val="es-ES_tradnl"/>
              </w:rPr>
            </w:pPr>
          </w:p>
          <w:p w:rsidR="00466E18" w:rsidRPr="00BE1C4F" w:rsidRDefault="00BE1C4F" w:rsidP="00BE1C4F">
            <w:pPr>
              <w:jc w:val="center"/>
              <w:cnfStyle w:val="000000000000" w:firstRow="0" w:lastRow="0" w:firstColumn="0" w:lastColumn="0" w:oddVBand="0" w:evenVBand="0" w:oddHBand="0" w:evenHBand="0" w:firstRowFirstColumn="0" w:firstRowLastColumn="0" w:lastRowFirstColumn="0" w:lastRowLastColumn="0"/>
              <w:rPr>
                <w:rFonts w:cs="Arial"/>
                <w:sz w:val="18"/>
                <w:szCs w:val="18"/>
                <w:lang w:val="es-ES_tradnl"/>
              </w:rPr>
            </w:pPr>
            <w:r w:rsidRPr="00BE1C4F">
              <w:rPr>
                <w:rFonts w:cs="Arial"/>
                <w:sz w:val="18"/>
                <w:szCs w:val="18"/>
                <w:lang w:val="es-ES_tradnl"/>
              </w:rPr>
              <w:t>63%</w:t>
            </w:r>
          </w:p>
        </w:tc>
      </w:tr>
      <w:tr w:rsidR="00466E18" w:rsidTr="00233F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77" w:type="dxa"/>
          </w:tcPr>
          <w:p w:rsidR="00466E18" w:rsidRPr="00185684" w:rsidRDefault="00BE1C4F" w:rsidP="00233F0F">
            <w:pPr>
              <w:jc w:val="both"/>
              <w:rPr>
                <w:rFonts w:ascii="Arial" w:hAnsi="Arial" w:cs="Arial"/>
                <w:b w:val="0"/>
              </w:rPr>
            </w:pPr>
            <w:r w:rsidRPr="00185684">
              <w:rPr>
                <w:b w:val="0"/>
                <w:sz w:val="18"/>
                <w:szCs w:val="18"/>
              </w:rPr>
              <w:t>MEJORAMIENTO DE LA IMAGEN Y FUNCIONALIDAD DEL EDIFICIO SEDE DEL DEPARTAMENTO ADMINISTRATIVO DE LA FUNCIÓN PÚBLICA BOGOTÁ</w:t>
            </w:r>
          </w:p>
        </w:tc>
        <w:tc>
          <w:tcPr>
            <w:tcW w:w="1701" w:type="dxa"/>
          </w:tcPr>
          <w:p w:rsidR="00233F0F" w:rsidRDefault="00233F0F" w:rsidP="00233F0F">
            <w:pPr>
              <w:jc w:val="center"/>
              <w:cnfStyle w:val="000000100000" w:firstRow="0" w:lastRow="0" w:firstColumn="0" w:lastColumn="0" w:oddVBand="0" w:evenVBand="0" w:oddHBand="1" w:evenHBand="0" w:firstRowFirstColumn="0" w:firstRowLastColumn="0" w:lastRowFirstColumn="0" w:lastRowLastColumn="0"/>
              <w:rPr>
                <w:sz w:val="18"/>
                <w:szCs w:val="18"/>
              </w:rPr>
            </w:pPr>
          </w:p>
          <w:p w:rsidR="00466E18" w:rsidRDefault="00233F0F" w:rsidP="00233F0F">
            <w:pPr>
              <w:jc w:val="center"/>
              <w:cnfStyle w:val="000000100000" w:firstRow="0" w:lastRow="0" w:firstColumn="0" w:lastColumn="0" w:oddVBand="0" w:evenVBand="0" w:oddHBand="1" w:evenHBand="0" w:firstRowFirstColumn="0" w:firstRowLastColumn="0" w:lastRowFirstColumn="0" w:lastRowLastColumn="0"/>
              <w:rPr>
                <w:rFonts w:ascii="Arial" w:hAnsi="Arial" w:cs="Arial"/>
                <w:lang w:val="es-ES_tradnl"/>
              </w:rPr>
            </w:pPr>
            <w:r>
              <w:rPr>
                <w:sz w:val="18"/>
                <w:szCs w:val="18"/>
              </w:rPr>
              <w:t>$</w:t>
            </w:r>
            <w:r w:rsidR="00E8263B">
              <w:rPr>
                <w:sz w:val="18"/>
                <w:szCs w:val="18"/>
              </w:rPr>
              <w:t xml:space="preserve">     </w:t>
            </w:r>
            <w:r w:rsidRPr="00233F0F">
              <w:rPr>
                <w:sz w:val="18"/>
                <w:szCs w:val="18"/>
              </w:rPr>
              <w:t>300.000.000</w:t>
            </w:r>
          </w:p>
        </w:tc>
        <w:tc>
          <w:tcPr>
            <w:tcW w:w="1134" w:type="dxa"/>
          </w:tcPr>
          <w:p w:rsidR="00233F0F" w:rsidRDefault="00233F0F" w:rsidP="00233F0F">
            <w:pPr>
              <w:jc w:val="center"/>
              <w:cnfStyle w:val="000000100000" w:firstRow="0" w:lastRow="0" w:firstColumn="0" w:lastColumn="0" w:oddVBand="0" w:evenVBand="0" w:oddHBand="1" w:evenHBand="0" w:firstRowFirstColumn="0" w:firstRowLastColumn="0" w:lastRowFirstColumn="0" w:lastRowLastColumn="0"/>
              <w:rPr>
                <w:rFonts w:cs="Arial"/>
                <w:sz w:val="18"/>
                <w:szCs w:val="18"/>
                <w:lang w:val="es-ES_tradnl"/>
              </w:rPr>
            </w:pPr>
          </w:p>
          <w:p w:rsidR="00466E18" w:rsidRPr="00233F0F" w:rsidRDefault="00233F0F" w:rsidP="00233F0F">
            <w:pPr>
              <w:jc w:val="center"/>
              <w:cnfStyle w:val="000000100000" w:firstRow="0" w:lastRow="0" w:firstColumn="0" w:lastColumn="0" w:oddVBand="0" w:evenVBand="0" w:oddHBand="1" w:evenHBand="0" w:firstRowFirstColumn="0" w:firstRowLastColumn="0" w:lastRowFirstColumn="0" w:lastRowLastColumn="0"/>
              <w:rPr>
                <w:rFonts w:cs="Arial"/>
                <w:sz w:val="18"/>
                <w:szCs w:val="18"/>
                <w:lang w:val="es-ES_tradnl"/>
              </w:rPr>
            </w:pPr>
            <w:r w:rsidRPr="00233F0F">
              <w:rPr>
                <w:rFonts w:cs="Arial"/>
                <w:sz w:val="18"/>
                <w:szCs w:val="18"/>
                <w:lang w:val="es-ES_tradnl"/>
              </w:rPr>
              <w:t>0%</w:t>
            </w:r>
          </w:p>
        </w:tc>
        <w:tc>
          <w:tcPr>
            <w:tcW w:w="1273" w:type="dxa"/>
          </w:tcPr>
          <w:p w:rsidR="00233F0F" w:rsidRDefault="00233F0F" w:rsidP="00233F0F">
            <w:pPr>
              <w:jc w:val="center"/>
              <w:cnfStyle w:val="000000100000" w:firstRow="0" w:lastRow="0" w:firstColumn="0" w:lastColumn="0" w:oddVBand="0" w:evenVBand="0" w:oddHBand="1" w:evenHBand="0" w:firstRowFirstColumn="0" w:firstRowLastColumn="0" w:lastRowFirstColumn="0" w:lastRowLastColumn="0"/>
              <w:rPr>
                <w:rFonts w:cs="Arial"/>
                <w:sz w:val="18"/>
                <w:szCs w:val="18"/>
                <w:lang w:val="es-ES_tradnl"/>
              </w:rPr>
            </w:pPr>
          </w:p>
          <w:p w:rsidR="00466E18" w:rsidRPr="00233F0F" w:rsidRDefault="00233F0F" w:rsidP="00233F0F">
            <w:pPr>
              <w:jc w:val="center"/>
              <w:cnfStyle w:val="000000100000" w:firstRow="0" w:lastRow="0" w:firstColumn="0" w:lastColumn="0" w:oddVBand="0" w:evenVBand="0" w:oddHBand="1" w:evenHBand="0" w:firstRowFirstColumn="0" w:firstRowLastColumn="0" w:lastRowFirstColumn="0" w:lastRowLastColumn="0"/>
              <w:rPr>
                <w:rFonts w:cs="Arial"/>
                <w:sz w:val="18"/>
                <w:szCs w:val="18"/>
                <w:lang w:val="es-ES_tradnl"/>
              </w:rPr>
            </w:pPr>
            <w:r w:rsidRPr="00233F0F">
              <w:rPr>
                <w:rFonts w:cs="Arial"/>
                <w:sz w:val="18"/>
                <w:szCs w:val="18"/>
                <w:lang w:val="es-ES_tradnl"/>
              </w:rPr>
              <w:t>50%</w:t>
            </w:r>
          </w:p>
        </w:tc>
        <w:tc>
          <w:tcPr>
            <w:tcW w:w="1027" w:type="dxa"/>
          </w:tcPr>
          <w:p w:rsidR="00233F0F" w:rsidRDefault="00233F0F" w:rsidP="00233F0F">
            <w:pPr>
              <w:jc w:val="center"/>
              <w:cnfStyle w:val="000000100000" w:firstRow="0" w:lastRow="0" w:firstColumn="0" w:lastColumn="0" w:oddVBand="0" w:evenVBand="0" w:oddHBand="1" w:evenHBand="0" w:firstRowFirstColumn="0" w:firstRowLastColumn="0" w:lastRowFirstColumn="0" w:lastRowLastColumn="0"/>
              <w:rPr>
                <w:rFonts w:cs="Arial"/>
                <w:sz w:val="18"/>
                <w:szCs w:val="18"/>
                <w:lang w:val="es-ES_tradnl"/>
              </w:rPr>
            </w:pPr>
          </w:p>
          <w:p w:rsidR="00466E18" w:rsidRPr="00233F0F" w:rsidRDefault="00233F0F" w:rsidP="00233F0F">
            <w:pPr>
              <w:jc w:val="center"/>
              <w:cnfStyle w:val="000000100000" w:firstRow="0" w:lastRow="0" w:firstColumn="0" w:lastColumn="0" w:oddVBand="0" w:evenVBand="0" w:oddHBand="1" w:evenHBand="0" w:firstRowFirstColumn="0" w:firstRowLastColumn="0" w:lastRowFirstColumn="0" w:lastRowLastColumn="0"/>
              <w:rPr>
                <w:rFonts w:cs="Arial"/>
                <w:sz w:val="18"/>
                <w:szCs w:val="18"/>
                <w:lang w:val="es-ES_tradnl"/>
              </w:rPr>
            </w:pPr>
            <w:r w:rsidRPr="00233F0F">
              <w:rPr>
                <w:rFonts w:cs="Arial"/>
                <w:sz w:val="18"/>
                <w:szCs w:val="18"/>
                <w:lang w:val="es-ES_tradnl"/>
              </w:rPr>
              <w:t>0%</w:t>
            </w:r>
          </w:p>
        </w:tc>
      </w:tr>
      <w:tr w:rsidR="00466E18" w:rsidTr="00233F0F">
        <w:tc>
          <w:tcPr>
            <w:cnfStyle w:val="001000000000" w:firstRow="0" w:lastRow="0" w:firstColumn="1" w:lastColumn="0" w:oddVBand="0" w:evenVBand="0" w:oddHBand="0" w:evenHBand="0" w:firstRowFirstColumn="0" w:firstRowLastColumn="0" w:lastRowFirstColumn="0" w:lastRowLastColumn="0"/>
            <w:tcW w:w="4077" w:type="dxa"/>
          </w:tcPr>
          <w:p w:rsidR="00466E18" w:rsidRPr="00185684" w:rsidRDefault="00233F0F" w:rsidP="00233F0F">
            <w:pPr>
              <w:spacing w:before="48" w:after="150"/>
              <w:outlineLvl w:val="3"/>
              <w:rPr>
                <w:rFonts w:ascii="Arial" w:hAnsi="Arial" w:cs="Arial"/>
                <w:b w:val="0"/>
              </w:rPr>
            </w:pPr>
            <w:r w:rsidRPr="00185684">
              <w:rPr>
                <w:b w:val="0"/>
                <w:sz w:val="18"/>
                <w:szCs w:val="18"/>
              </w:rPr>
              <w:t>MEJORAMIENTO DE LA GESTIÓN DE LAS POLÍTICAS PÚBLICAS A TRAVÉS DE LAS TIC NACIONAL</w:t>
            </w:r>
          </w:p>
        </w:tc>
        <w:tc>
          <w:tcPr>
            <w:tcW w:w="1701" w:type="dxa"/>
          </w:tcPr>
          <w:p w:rsidR="00233F0F" w:rsidRDefault="00233F0F" w:rsidP="00233F0F">
            <w:pPr>
              <w:jc w:val="center"/>
              <w:cnfStyle w:val="000000000000" w:firstRow="0" w:lastRow="0" w:firstColumn="0" w:lastColumn="0" w:oddVBand="0" w:evenVBand="0" w:oddHBand="0" w:evenHBand="0" w:firstRowFirstColumn="0" w:firstRowLastColumn="0" w:lastRowFirstColumn="0" w:lastRowLastColumn="0"/>
              <w:rPr>
                <w:sz w:val="18"/>
                <w:szCs w:val="18"/>
              </w:rPr>
            </w:pPr>
          </w:p>
          <w:p w:rsidR="00466E18" w:rsidRDefault="00233F0F" w:rsidP="00233F0F">
            <w:pPr>
              <w:jc w:val="center"/>
              <w:cnfStyle w:val="000000000000" w:firstRow="0" w:lastRow="0" w:firstColumn="0" w:lastColumn="0" w:oddVBand="0" w:evenVBand="0" w:oddHBand="0" w:evenHBand="0" w:firstRowFirstColumn="0" w:firstRowLastColumn="0" w:lastRowFirstColumn="0" w:lastRowLastColumn="0"/>
              <w:rPr>
                <w:rFonts w:ascii="Arial" w:hAnsi="Arial" w:cs="Arial"/>
                <w:lang w:val="es-ES_tradnl"/>
              </w:rPr>
            </w:pPr>
            <w:r w:rsidRPr="00233F0F">
              <w:rPr>
                <w:sz w:val="18"/>
                <w:szCs w:val="18"/>
              </w:rPr>
              <w:t>$</w:t>
            </w:r>
            <w:r w:rsidR="00E8263B">
              <w:rPr>
                <w:sz w:val="18"/>
                <w:szCs w:val="18"/>
              </w:rPr>
              <w:t xml:space="preserve"> </w:t>
            </w:r>
            <w:r w:rsidRPr="00233F0F">
              <w:rPr>
                <w:sz w:val="18"/>
                <w:szCs w:val="18"/>
              </w:rPr>
              <w:t>6.447.052.500</w:t>
            </w:r>
          </w:p>
        </w:tc>
        <w:tc>
          <w:tcPr>
            <w:tcW w:w="1134" w:type="dxa"/>
          </w:tcPr>
          <w:p w:rsidR="00233F0F" w:rsidRDefault="00233F0F" w:rsidP="00233F0F">
            <w:pPr>
              <w:jc w:val="center"/>
              <w:cnfStyle w:val="000000000000" w:firstRow="0" w:lastRow="0" w:firstColumn="0" w:lastColumn="0" w:oddVBand="0" w:evenVBand="0" w:oddHBand="0" w:evenHBand="0" w:firstRowFirstColumn="0" w:firstRowLastColumn="0" w:lastRowFirstColumn="0" w:lastRowLastColumn="0"/>
              <w:rPr>
                <w:rFonts w:cs="Arial"/>
                <w:sz w:val="18"/>
                <w:szCs w:val="18"/>
                <w:lang w:val="es-ES_tradnl"/>
              </w:rPr>
            </w:pPr>
          </w:p>
          <w:p w:rsidR="00466E18" w:rsidRPr="00233F0F" w:rsidRDefault="00233F0F" w:rsidP="00233F0F">
            <w:pPr>
              <w:jc w:val="center"/>
              <w:cnfStyle w:val="000000000000" w:firstRow="0" w:lastRow="0" w:firstColumn="0" w:lastColumn="0" w:oddVBand="0" w:evenVBand="0" w:oddHBand="0" w:evenHBand="0" w:firstRowFirstColumn="0" w:firstRowLastColumn="0" w:lastRowFirstColumn="0" w:lastRowLastColumn="0"/>
              <w:rPr>
                <w:rFonts w:cs="Arial"/>
                <w:sz w:val="18"/>
                <w:szCs w:val="18"/>
                <w:lang w:val="es-ES_tradnl"/>
              </w:rPr>
            </w:pPr>
            <w:r w:rsidRPr="00233F0F">
              <w:rPr>
                <w:rFonts w:cs="Arial"/>
                <w:sz w:val="18"/>
                <w:szCs w:val="18"/>
                <w:lang w:val="es-ES_tradnl"/>
              </w:rPr>
              <w:t>29%</w:t>
            </w:r>
          </w:p>
        </w:tc>
        <w:tc>
          <w:tcPr>
            <w:tcW w:w="1273" w:type="dxa"/>
          </w:tcPr>
          <w:p w:rsidR="00233F0F" w:rsidRDefault="00233F0F" w:rsidP="00233F0F">
            <w:pPr>
              <w:jc w:val="center"/>
              <w:cnfStyle w:val="000000000000" w:firstRow="0" w:lastRow="0" w:firstColumn="0" w:lastColumn="0" w:oddVBand="0" w:evenVBand="0" w:oddHBand="0" w:evenHBand="0" w:firstRowFirstColumn="0" w:firstRowLastColumn="0" w:lastRowFirstColumn="0" w:lastRowLastColumn="0"/>
              <w:rPr>
                <w:rFonts w:cs="Arial"/>
                <w:sz w:val="18"/>
                <w:szCs w:val="18"/>
                <w:lang w:val="es-ES_tradnl"/>
              </w:rPr>
            </w:pPr>
          </w:p>
          <w:p w:rsidR="00466E18" w:rsidRPr="00233F0F" w:rsidRDefault="00233F0F" w:rsidP="00233F0F">
            <w:pPr>
              <w:jc w:val="center"/>
              <w:cnfStyle w:val="000000000000" w:firstRow="0" w:lastRow="0" w:firstColumn="0" w:lastColumn="0" w:oddVBand="0" w:evenVBand="0" w:oddHBand="0" w:evenHBand="0" w:firstRowFirstColumn="0" w:firstRowLastColumn="0" w:lastRowFirstColumn="0" w:lastRowLastColumn="0"/>
              <w:rPr>
                <w:rFonts w:cs="Arial"/>
                <w:sz w:val="18"/>
                <w:szCs w:val="18"/>
                <w:lang w:val="es-ES_tradnl"/>
              </w:rPr>
            </w:pPr>
            <w:r w:rsidRPr="00233F0F">
              <w:rPr>
                <w:rFonts w:cs="Arial"/>
                <w:sz w:val="18"/>
                <w:szCs w:val="18"/>
                <w:lang w:val="es-ES_tradnl"/>
              </w:rPr>
              <w:t>27.30%</w:t>
            </w:r>
          </w:p>
        </w:tc>
        <w:tc>
          <w:tcPr>
            <w:tcW w:w="1027" w:type="dxa"/>
          </w:tcPr>
          <w:p w:rsidR="00233F0F" w:rsidRDefault="00233F0F" w:rsidP="00233F0F">
            <w:pPr>
              <w:jc w:val="center"/>
              <w:cnfStyle w:val="000000000000" w:firstRow="0" w:lastRow="0" w:firstColumn="0" w:lastColumn="0" w:oddVBand="0" w:evenVBand="0" w:oddHBand="0" w:evenHBand="0" w:firstRowFirstColumn="0" w:firstRowLastColumn="0" w:lastRowFirstColumn="0" w:lastRowLastColumn="0"/>
              <w:rPr>
                <w:rFonts w:cs="Arial"/>
                <w:sz w:val="18"/>
                <w:szCs w:val="18"/>
                <w:lang w:val="es-ES_tradnl"/>
              </w:rPr>
            </w:pPr>
          </w:p>
          <w:p w:rsidR="00466E18" w:rsidRPr="00233F0F" w:rsidRDefault="00233F0F" w:rsidP="00233F0F">
            <w:pPr>
              <w:jc w:val="center"/>
              <w:cnfStyle w:val="000000000000" w:firstRow="0" w:lastRow="0" w:firstColumn="0" w:lastColumn="0" w:oddVBand="0" w:evenVBand="0" w:oddHBand="0" w:evenHBand="0" w:firstRowFirstColumn="0" w:firstRowLastColumn="0" w:lastRowFirstColumn="0" w:lastRowLastColumn="0"/>
              <w:rPr>
                <w:rFonts w:cs="Arial"/>
                <w:sz w:val="18"/>
                <w:szCs w:val="18"/>
                <w:lang w:val="es-ES_tradnl"/>
              </w:rPr>
            </w:pPr>
            <w:r w:rsidRPr="00233F0F">
              <w:rPr>
                <w:rFonts w:cs="Arial"/>
                <w:sz w:val="18"/>
                <w:szCs w:val="18"/>
                <w:lang w:val="es-ES_tradnl"/>
              </w:rPr>
              <w:t>75%</w:t>
            </w:r>
          </w:p>
        </w:tc>
      </w:tr>
    </w:tbl>
    <w:p w:rsidR="000C7671" w:rsidRDefault="000C7671" w:rsidP="000C7671">
      <w:pPr>
        <w:rPr>
          <w:rFonts w:ascii="Arial" w:hAnsi="Arial" w:cs="Arial"/>
          <w:sz w:val="16"/>
          <w:szCs w:val="16"/>
          <w:lang w:val="es-ES_tradnl"/>
        </w:rPr>
      </w:pPr>
      <w:r>
        <w:rPr>
          <w:rFonts w:ascii="Arial" w:hAnsi="Arial" w:cs="Arial"/>
          <w:noProof/>
          <w:sz w:val="16"/>
          <w:szCs w:val="16"/>
          <w:lang w:eastAsia="es-CO"/>
        </w:rPr>
        <mc:AlternateContent>
          <mc:Choice Requires="wps">
            <w:drawing>
              <wp:anchor distT="0" distB="0" distL="114300" distR="114300" simplePos="0" relativeHeight="251664384" behindDoc="0" locked="0" layoutInCell="1" allowOverlap="1" wp14:anchorId="40D1EF34" wp14:editId="50D281C5">
                <wp:simplePos x="0" y="0"/>
                <wp:positionH relativeFrom="column">
                  <wp:posOffset>-88097</wp:posOffset>
                </wp:positionH>
                <wp:positionV relativeFrom="paragraph">
                  <wp:posOffset>85066</wp:posOffset>
                </wp:positionV>
                <wp:extent cx="5874588" cy="534838"/>
                <wp:effectExtent l="0" t="0" r="12065" b="17780"/>
                <wp:wrapNone/>
                <wp:docPr id="14" name="14 Rectángulo"/>
                <wp:cNvGraphicFramePr/>
                <a:graphic xmlns:a="http://schemas.openxmlformats.org/drawingml/2006/main">
                  <a:graphicData uri="http://schemas.microsoft.com/office/word/2010/wordprocessingShape">
                    <wps:wsp>
                      <wps:cNvSpPr/>
                      <wps:spPr>
                        <a:xfrm>
                          <a:off x="0" y="0"/>
                          <a:ext cx="5874588" cy="534838"/>
                        </a:xfrm>
                        <a:prstGeom prst="rect">
                          <a:avLst/>
                        </a:prstGeom>
                      </wps:spPr>
                      <wps:style>
                        <a:lnRef idx="2">
                          <a:schemeClr val="accent1"/>
                        </a:lnRef>
                        <a:fillRef idx="1">
                          <a:schemeClr val="lt1"/>
                        </a:fillRef>
                        <a:effectRef idx="0">
                          <a:schemeClr val="accent1"/>
                        </a:effectRef>
                        <a:fontRef idx="minor">
                          <a:schemeClr val="dk1"/>
                        </a:fontRef>
                      </wps:style>
                      <wps:txbx>
                        <w:txbxContent>
                          <w:p w:rsidR="00E509F2" w:rsidRPr="000C7671" w:rsidRDefault="00E509F2" w:rsidP="000C7671">
                            <w:pPr>
                              <w:pStyle w:val="Sinespaciado"/>
                              <w:rPr>
                                <w:rStyle w:val="Textoennegrita"/>
                                <w:b w:val="0"/>
                                <w:bCs w:val="0"/>
                                <w:sz w:val="14"/>
                                <w:szCs w:val="14"/>
                              </w:rPr>
                            </w:pPr>
                            <w:r w:rsidRPr="000C7671">
                              <w:rPr>
                                <w:rStyle w:val="Textoennegrita"/>
                                <w:bCs w:val="0"/>
                                <w:sz w:val="14"/>
                                <w:szCs w:val="14"/>
                                <w:u w:val="single"/>
                              </w:rPr>
                              <w:t>Significados de cada avance</w:t>
                            </w:r>
                            <w:r w:rsidRPr="000C7671">
                              <w:rPr>
                                <w:rStyle w:val="Textoennegrita"/>
                                <w:b w:val="0"/>
                                <w:bCs w:val="0"/>
                                <w:sz w:val="14"/>
                                <w:szCs w:val="14"/>
                              </w:rPr>
                              <w:t>:</w:t>
                            </w:r>
                          </w:p>
                          <w:p w:rsidR="00E509F2" w:rsidRPr="000C7671" w:rsidRDefault="00E509F2" w:rsidP="000C7671">
                            <w:pPr>
                              <w:pStyle w:val="Sinespaciado"/>
                              <w:rPr>
                                <w:rStyle w:val="Textoennegrita"/>
                                <w:b w:val="0"/>
                                <w:bCs w:val="0"/>
                                <w:sz w:val="14"/>
                                <w:szCs w:val="14"/>
                              </w:rPr>
                            </w:pPr>
                            <w:r w:rsidRPr="000C7671">
                              <w:rPr>
                                <w:rStyle w:val="Textoennegrita"/>
                                <w:bCs w:val="0"/>
                                <w:i/>
                                <w:sz w:val="14"/>
                                <w:szCs w:val="14"/>
                              </w:rPr>
                              <w:t>Avance financiero</w:t>
                            </w:r>
                            <w:r w:rsidRPr="000C7671">
                              <w:rPr>
                                <w:rStyle w:val="Textoennegrita"/>
                                <w:bCs w:val="0"/>
                                <w:sz w:val="14"/>
                                <w:szCs w:val="14"/>
                              </w:rPr>
                              <w:t>:</w:t>
                            </w:r>
                            <w:r w:rsidRPr="000C7671">
                              <w:rPr>
                                <w:rStyle w:val="Textoennegrita"/>
                                <w:b w:val="0"/>
                                <w:bCs w:val="0"/>
                                <w:sz w:val="14"/>
                                <w:szCs w:val="14"/>
                              </w:rPr>
                              <w:t xml:space="preserve"> Obligación/apropiación vigente</w:t>
                            </w:r>
                          </w:p>
                          <w:p w:rsidR="00E509F2" w:rsidRPr="000C7671" w:rsidRDefault="00E509F2" w:rsidP="000C7671">
                            <w:pPr>
                              <w:pStyle w:val="Sinespaciado"/>
                              <w:rPr>
                                <w:rStyle w:val="Textoennegrita"/>
                                <w:b w:val="0"/>
                                <w:bCs w:val="0"/>
                                <w:sz w:val="14"/>
                                <w:szCs w:val="14"/>
                              </w:rPr>
                            </w:pPr>
                            <w:r w:rsidRPr="000C7671">
                              <w:rPr>
                                <w:rStyle w:val="Textoennegrita"/>
                                <w:bCs w:val="0"/>
                                <w:i/>
                                <w:sz w:val="14"/>
                                <w:szCs w:val="14"/>
                              </w:rPr>
                              <w:t>Avance Físico</w:t>
                            </w:r>
                            <w:r w:rsidRPr="000C7671">
                              <w:rPr>
                                <w:rStyle w:val="Textoennegrita"/>
                                <w:bCs w:val="0"/>
                                <w:sz w:val="14"/>
                                <w:szCs w:val="14"/>
                              </w:rPr>
                              <w:t>:</w:t>
                            </w:r>
                            <w:r w:rsidRPr="000C7671">
                              <w:rPr>
                                <w:rStyle w:val="Textoennegrita"/>
                                <w:b w:val="0"/>
                                <w:bCs w:val="0"/>
                                <w:sz w:val="14"/>
                                <w:szCs w:val="14"/>
                              </w:rPr>
                              <w:t xml:space="preserve"> Sumatoria del avance físico (avance vigencia / meta vigente para los indicadores de producto) multiplicada por su ponderación y por 100</w:t>
                            </w:r>
                          </w:p>
                          <w:p w:rsidR="00E509F2" w:rsidRDefault="00E509F2" w:rsidP="000C7671">
                            <w:pPr>
                              <w:jc w:val="center"/>
                            </w:pPr>
                            <w:r w:rsidRPr="000C7671">
                              <w:rPr>
                                <w:rStyle w:val="Textoennegrita"/>
                                <w:bCs w:val="0"/>
                                <w:i/>
                                <w:sz w:val="14"/>
                                <w:szCs w:val="14"/>
                              </w:rPr>
                              <w:t>Avance de Gestión</w:t>
                            </w:r>
                            <w:r w:rsidRPr="000C7671">
                              <w:rPr>
                                <w:rStyle w:val="Textoennegrita"/>
                                <w:b w:val="0"/>
                                <w:bCs w:val="0"/>
                                <w:sz w:val="14"/>
                                <w:szCs w:val="14"/>
                              </w:rPr>
                              <w:t>: Sumatoria del avance gestión (avance vigencia / meta vigente para los indicadores de gestión) multiplicada por su ponderación y por</w:t>
                            </w:r>
                            <w:r>
                              <w:rPr>
                                <w:rStyle w:val="Textoennegrita"/>
                                <w:b w:val="0"/>
                                <w:bCs w:val="0"/>
                                <w:sz w:val="14"/>
                                <w:szCs w:val="14"/>
                              </w:rPr>
                              <w:t xml:space="preserve">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0D1EF34" id="14 Rectángulo" o:spid="_x0000_s1029" style="position:absolute;margin-left:-6.95pt;margin-top:6.7pt;width:462.55pt;height:4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" fillcolor="white [3201]" strokecolor="#5b9bd5 [3204]" strokeweight="1pt">
                <v:textbox>
                  <w:txbxContent>
                    <w:p w:rsidR="00E509F2" w:rsidRPr="000C7671" w:rsidRDefault="00E509F2" w:rsidP="000C7671">
                      <w:pPr>
                        <w:pStyle w:val="Sinespaciado"/>
                        <w:rPr>
                          <w:rStyle w:val="Textoennegrita"/>
                          <w:b w:val="0"/>
                          <w:bCs w:val="0"/>
                          <w:sz w:val="14"/>
                          <w:szCs w:val="14"/>
                        </w:rPr>
                      </w:pPr>
                      <w:r w:rsidRPr="000C7671">
                        <w:rPr>
                          <w:rStyle w:val="Textoennegrita"/>
                          <w:bCs w:val="0"/>
                          <w:sz w:val="14"/>
                          <w:szCs w:val="14"/>
                          <w:u w:val="single"/>
                        </w:rPr>
                        <w:t>Significados de cada avance</w:t>
                      </w:r>
                      <w:r w:rsidRPr="000C7671">
                        <w:rPr>
                          <w:rStyle w:val="Textoennegrita"/>
                          <w:b w:val="0"/>
                          <w:bCs w:val="0"/>
                          <w:sz w:val="14"/>
                          <w:szCs w:val="14"/>
                        </w:rPr>
                        <w:t>:</w:t>
                      </w:r>
                    </w:p>
                    <w:p w:rsidR="00E509F2" w:rsidRPr="000C7671" w:rsidRDefault="00E509F2" w:rsidP="000C7671">
                      <w:pPr>
                        <w:pStyle w:val="Sinespaciado"/>
                        <w:rPr>
                          <w:rStyle w:val="Textoennegrita"/>
                          <w:b w:val="0"/>
                          <w:bCs w:val="0"/>
                          <w:sz w:val="14"/>
                          <w:szCs w:val="14"/>
                        </w:rPr>
                      </w:pPr>
                      <w:r w:rsidRPr="000C7671">
                        <w:rPr>
                          <w:rStyle w:val="Textoennegrita"/>
                          <w:bCs w:val="0"/>
                          <w:i/>
                          <w:sz w:val="14"/>
                          <w:szCs w:val="14"/>
                        </w:rPr>
                        <w:t>Avance financiero</w:t>
                      </w:r>
                      <w:r w:rsidRPr="000C7671">
                        <w:rPr>
                          <w:rStyle w:val="Textoennegrita"/>
                          <w:bCs w:val="0"/>
                          <w:sz w:val="14"/>
                          <w:szCs w:val="14"/>
                        </w:rPr>
                        <w:t>:</w:t>
                      </w:r>
                      <w:r w:rsidRPr="000C7671">
                        <w:rPr>
                          <w:rStyle w:val="Textoennegrita"/>
                          <w:b w:val="0"/>
                          <w:bCs w:val="0"/>
                          <w:sz w:val="14"/>
                          <w:szCs w:val="14"/>
                        </w:rPr>
                        <w:t xml:space="preserve"> Obligación/apropiación vigente</w:t>
                      </w:r>
                    </w:p>
                    <w:p w:rsidR="00E509F2" w:rsidRPr="000C7671" w:rsidRDefault="00E509F2" w:rsidP="000C7671">
                      <w:pPr>
                        <w:pStyle w:val="Sinespaciado"/>
                        <w:rPr>
                          <w:rStyle w:val="Textoennegrita"/>
                          <w:b w:val="0"/>
                          <w:bCs w:val="0"/>
                          <w:sz w:val="14"/>
                          <w:szCs w:val="14"/>
                        </w:rPr>
                      </w:pPr>
                      <w:r w:rsidRPr="000C7671">
                        <w:rPr>
                          <w:rStyle w:val="Textoennegrita"/>
                          <w:bCs w:val="0"/>
                          <w:i/>
                          <w:sz w:val="14"/>
                          <w:szCs w:val="14"/>
                        </w:rPr>
                        <w:t>Avance Físico</w:t>
                      </w:r>
                      <w:r w:rsidRPr="000C7671">
                        <w:rPr>
                          <w:rStyle w:val="Textoennegrita"/>
                          <w:bCs w:val="0"/>
                          <w:sz w:val="14"/>
                          <w:szCs w:val="14"/>
                        </w:rPr>
                        <w:t>:</w:t>
                      </w:r>
                      <w:r w:rsidRPr="000C7671">
                        <w:rPr>
                          <w:rStyle w:val="Textoennegrita"/>
                          <w:b w:val="0"/>
                          <w:bCs w:val="0"/>
                          <w:sz w:val="14"/>
                          <w:szCs w:val="14"/>
                        </w:rPr>
                        <w:t xml:space="preserve"> Sumatoria del avance físico (avance vigencia / meta vigente para los indicadores de producto) multiplicada por su ponderación y por 100</w:t>
                      </w:r>
                    </w:p>
                    <w:p w:rsidR="00E509F2" w:rsidRDefault="00E509F2" w:rsidP="000C7671">
                      <w:pPr>
                        <w:jc w:val="center"/>
                      </w:pPr>
                      <w:r w:rsidRPr="000C7671">
                        <w:rPr>
                          <w:rStyle w:val="Textoennegrita"/>
                          <w:bCs w:val="0"/>
                          <w:i/>
                          <w:sz w:val="14"/>
                          <w:szCs w:val="14"/>
                        </w:rPr>
                        <w:t>Avance de Gestión</w:t>
                      </w:r>
                      <w:r w:rsidRPr="000C7671">
                        <w:rPr>
                          <w:rStyle w:val="Textoennegrita"/>
                          <w:b w:val="0"/>
                          <w:bCs w:val="0"/>
                          <w:sz w:val="14"/>
                          <w:szCs w:val="14"/>
                        </w:rPr>
                        <w:t>: Sumatoria del avance gestión (avance vigencia / meta vigente para los indicadores de gestión) multiplicada por su ponderación y por</w:t>
                      </w:r>
                      <w:r>
                        <w:rPr>
                          <w:rStyle w:val="Textoennegrita"/>
                          <w:b w:val="0"/>
                          <w:bCs w:val="0"/>
                          <w:sz w:val="14"/>
                          <w:szCs w:val="14"/>
                        </w:rPr>
                        <w:t xml:space="preserve"> 100</w:t>
                      </w:r>
                    </w:p>
                  </w:txbxContent>
                </v:textbox>
              </v:rect>
            </w:pict>
          </mc:Fallback>
        </mc:AlternateContent>
      </w:r>
    </w:p>
    <w:p w:rsidR="000C7671" w:rsidRPr="00233F0F" w:rsidRDefault="000C7671" w:rsidP="000C7671">
      <w:pPr>
        <w:jc w:val="both"/>
        <w:rPr>
          <w:rFonts w:ascii="Arial" w:hAnsi="Arial" w:cs="Arial"/>
          <w:i/>
          <w:sz w:val="16"/>
          <w:szCs w:val="16"/>
          <w:lang w:val="es-ES_tradnl"/>
        </w:rPr>
      </w:pPr>
      <w:r w:rsidRPr="00233F0F">
        <w:rPr>
          <w:rFonts w:ascii="Arial" w:hAnsi="Arial" w:cs="Arial"/>
          <w:i/>
          <w:sz w:val="16"/>
          <w:szCs w:val="16"/>
          <w:lang w:val="es-ES_tradnl"/>
        </w:rPr>
        <w:t>Fuente: Información SPI – septiembre 2019</w:t>
      </w:r>
    </w:p>
    <w:p w:rsidR="000C7671" w:rsidRDefault="000C7671" w:rsidP="000C7671">
      <w:pPr>
        <w:rPr>
          <w:rFonts w:ascii="Arial" w:hAnsi="Arial" w:cs="Arial"/>
          <w:sz w:val="16"/>
          <w:szCs w:val="16"/>
          <w:lang w:val="es-ES_tradnl"/>
        </w:rPr>
      </w:pPr>
    </w:p>
    <w:p w:rsidR="000C7671" w:rsidRPr="000C7671" w:rsidRDefault="000C7671" w:rsidP="000C7671">
      <w:pPr>
        <w:rPr>
          <w:rFonts w:ascii="Arial" w:hAnsi="Arial" w:cs="Arial"/>
          <w:sz w:val="16"/>
          <w:szCs w:val="16"/>
          <w:lang w:val="es-ES_tradnl"/>
        </w:rPr>
      </w:pPr>
    </w:p>
    <w:p w:rsidR="000C7671" w:rsidRDefault="000C7671" w:rsidP="000C7671">
      <w:pPr>
        <w:rPr>
          <w:rFonts w:ascii="Arial" w:hAnsi="Arial" w:cs="Arial"/>
          <w:sz w:val="16"/>
          <w:szCs w:val="16"/>
          <w:lang w:val="es-ES_tradnl"/>
        </w:rPr>
      </w:pPr>
    </w:p>
    <w:p w:rsidR="00442A67" w:rsidRDefault="00442A67" w:rsidP="000C7671">
      <w:pPr>
        <w:rPr>
          <w:rFonts w:ascii="Arial" w:hAnsi="Arial" w:cs="Arial"/>
          <w:sz w:val="16"/>
          <w:szCs w:val="16"/>
          <w:lang w:val="es-ES_tradnl"/>
        </w:rPr>
      </w:pPr>
    </w:p>
    <w:p w:rsidR="000C7671" w:rsidRDefault="000C7671" w:rsidP="000C7671">
      <w:pPr>
        <w:jc w:val="both"/>
        <w:rPr>
          <w:rFonts w:ascii="Arial" w:hAnsi="Arial" w:cs="Arial"/>
          <w:i/>
          <w:sz w:val="14"/>
          <w:szCs w:val="14"/>
          <w:lang w:val="es-ES_tradnl"/>
        </w:rPr>
      </w:pPr>
      <w:r w:rsidRPr="000C7671">
        <w:rPr>
          <w:rFonts w:ascii="Arial" w:hAnsi="Arial" w:cs="Arial"/>
          <w:i/>
          <w:sz w:val="14"/>
          <w:szCs w:val="14"/>
          <w:lang w:val="es-ES_tradnl"/>
        </w:rPr>
        <w:t>Fuente: Información SPI – septiembre 2019</w:t>
      </w:r>
    </w:p>
    <w:p w:rsidR="00E65733" w:rsidRDefault="00E65733" w:rsidP="000C7671">
      <w:pPr>
        <w:jc w:val="both"/>
        <w:rPr>
          <w:rFonts w:ascii="Arial" w:hAnsi="Arial" w:cs="Arial"/>
          <w:i/>
          <w:sz w:val="14"/>
          <w:szCs w:val="14"/>
          <w:lang w:val="es-ES_tradnl"/>
        </w:rPr>
      </w:pPr>
    </w:p>
    <w:p w:rsidR="00E65733" w:rsidRDefault="00E65733" w:rsidP="00E65733">
      <w:pPr>
        <w:autoSpaceDE w:val="0"/>
        <w:autoSpaceDN w:val="0"/>
        <w:adjustRightInd w:val="0"/>
        <w:spacing w:before="240"/>
        <w:jc w:val="both"/>
        <w:rPr>
          <w:rFonts w:ascii="Arial" w:hAnsi="Arial" w:cs="Arial"/>
          <w:lang w:eastAsia="es-CO"/>
        </w:rPr>
      </w:pPr>
      <w:r w:rsidRPr="00A12C67">
        <w:rPr>
          <w:rFonts w:ascii="Arial" w:hAnsi="Arial" w:cs="Arial"/>
          <w:lang w:eastAsia="es-CO"/>
        </w:rPr>
        <w:t xml:space="preserve">De otra parte, la constitución de rezago presupuestal (reservas y cuentas por pagar) vigencia fiscal 2019 es la siguiente:  </w:t>
      </w:r>
    </w:p>
    <w:p w:rsidR="00E65733" w:rsidRDefault="00E65733" w:rsidP="00F67175">
      <w:pPr>
        <w:pStyle w:val="Ttulo1"/>
        <w:jc w:val="center"/>
        <w:rPr>
          <w:sz w:val="24"/>
          <w:szCs w:val="24"/>
          <w:lang w:eastAsia="es-CO"/>
        </w:rPr>
      </w:pPr>
      <w:r w:rsidRPr="00F67175">
        <w:rPr>
          <w:sz w:val="24"/>
          <w:szCs w:val="24"/>
          <w:lang w:eastAsia="es-CO"/>
        </w:rPr>
        <w:t>REZAGO PRESUPUESTAL VIGENCIA FISCAL 2</w:t>
      </w:r>
      <w:r w:rsidR="007A61AE" w:rsidRPr="00F67175">
        <w:rPr>
          <w:sz w:val="24"/>
          <w:szCs w:val="24"/>
          <w:lang w:eastAsia="es-CO"/>
        </w:rPr>
        <w:t>019</w:t>
      </w:r>
    </w:p>
    <w:p w:rsidR="00164870" w:rsidRDefault="00164870" w:rsidP="00164870">
      <w:pPr>
        <w:rPr>
          <w:lang w:eastAsia="es-CO"/>
        </w:rPr>
      </w:pPr>
    </w:p>
    <w:tbl>
      <w:tblPr>
        <w:tblW w:w="9287" w:type="dxa"/>
        <w:tblBorders>
          <w:top w:val="single" w:sz="8" w:space="0" w:color="C0504D"/>
          <w:bottom w:val="single" w:sz="8" w:space="0" w:color="C0504D"/>
        </w:tblBorders>
        <w:tblLook w:val="04A0" w:firstRow="1" w:lastRow="0" w:firstColumn="1" w:lastColumn="0" w:noHBand="0" w:noVBand="1"/>
      </w:tblPr>
      <w:tblGrid>
        <w:gridCol w:w="3102"/>
        <w:gridCol w:w="3400"/>
        <w:gridCol w:w="2785"/>
      </w:tblGrid>
      <w:tr w:rsidR="00164870" w:rsidRPr="004576DD" w:rsidTr="005D320F">
        <w:trPr>
          <w:trHeight w:val="141"/>
        </w:trPr>
        <w:tc>
          <w:tcPr>
            <w:tcW w:w="3102" w:type="dxa"/>
            <w:tcBorders>
              <w:top w:val="single" w:sz="8" w:space="0" w:color="C0504D"/>
              <w:bottom w:val="single" w:sz="8" w:space="0" w:color="C0504D"/>
            </w:tcBorders>
            <w:shd w:val="clear" w:color="auto" w:fill="auto"/>
            <w:hideMark/>
          </w:tcPr>
          <w:p w:rsidR="00164870" w:rsidRPr="003A2FDB" w:rsidRDefault="00164870" w:rsidP="005D320F">
            <w:pPr>
              <w:pStyle w:val="Sinespaciado"/>
              <w:jc w:val="center"/>
              <w:rPr>
                <w:rFonts w:eastAsia="Calibri"/>
                <w:b/>
                <w:lang w:eastAsia="es-CO"/>
              </w:rPr>
            </w:pPr>
            <w:r w:rsidRPr="003A2FDB">
              <w:rPr>
                <w:b/>
                <w:lang w:eastAsia="es-CO"/>
              </w:rPr>
              <w:t>RUBRO</w:t>
            </w:r>
          </w:p>
        </w:tc>
        <w:tc>
          <w:tcPr>
            <w:tcW w:w="3400" w:type="dxa"/>
            <w:tcBorders>
              <w:top w:val="single" w:sz="8" w:space="0" w:color="C0504D"/>
              <w:bottom w:val="single" w:sz="8" w:space="0" w:color="C0504D"/>
            </w:tcBorders>
            <w:shd w:val="clear" w:color="auto" w:fill="auto"/>
            <w:hideMark/>
          </w:tcPr>
          <w:p w:rsidR="00164870" w:rsidRPr="003A2FDB" w:rsidRDefault="00164870" w:rsidP="005D320F">
            <w:pPr>
              <w:pStyle w:val="Sinespaciado"/>
              <w:jc w:val="center"/>
              <w:rPr>
                <w:rFonts w:eastAsia="Calibri"/>
                <w:b/>
                <w:lang w:eastAsia="es-CO"/>
              </w:rPr>
            </w:pPr>
            <w:r w:rsidRPr="003A2FDB">
              <w:rPr>
                <w:b/>
                <w:lang w:eastAsia="es-CO"/>
              </w:rPr>
              <w:t>VALOR</w:t>
            </w:r>
          </w:p>
        </w:tc>
        <w:tc>
          <w:tcPr>
            <w:tcW w:w="2785" w:type="dxa"/>
            <w:tcBorders>
              <w:top w:val="single" w:sz="8" w:space="0" w:color="C0504D"/>
              <w:bottom w:val="single" w:sz="8" w:space="0" w:color="C0504D"/>
            </w:tcBorders>
          </w:tcPr>
          <w:p w:rsidR="00164870" w:rsidRPr="003A2FDB" w:rsidRDefault="00164870" w:rsidP="005D320F">
            <w:pPr>
              <w:pStyle w:val="Sinespaciado"/>
              <w:jc w:val="center"/>
              <w:rPr>
                <w:b/>
                <w:lang w:eastAsia="es-CO"/>
              </w:rPr>
            </w:pPr>
            <w:r>
              <w:rPr>
                <w:b/>
                <w:lang w:eastAsia="es-CO"/>
              </w:rPr>
              <w:t>CANCELADO</w:t>
            </w:r>
          </w:p>
        </w:tc>
      </w:tr>
      <w:tr w:rsidR="00164870" w:rsidRPr="004576DD" w:rsidTr="005D320F">
        <w:trPr>
          <w:trHeight w:val="137"/>
        </w:trPr>
        <w:tc>
          <w:tcPr>
            <w:tcW w:w="6502" w:type="dxa"/>
            <w:gridSpan w:val="2"/>
            <w:shd w:val="clear" w:color="auto" w:fill="EFD3D2"/>
            <w:hideMark/>
          </w:tcPr>
          <w:p w:rsidR="00164870" w:rsidRPr="00EC340C" w:rsidRDefault="00164870" w:rsidP="005D320F">
            <w:pPr>
              <w:pStyle w:val="Sinespaciado"/>
              <w:jc w:val="center"/>
              <w:rPr>
                <w:rFonts w:eastAsia="Calibri"/>
                <w:b/>
                <w:i/>
                <w:lang w:eastAsia="es-CO"/>
              </w:rPr>
            </w:pPr>
            <w:r w:rsidRPr="00EC340C">
              <w:rPr>
                <w:rFonts w:eastAsia="Calibri"/>
                <w:i/>
                <w:lang w:eastAsia="es-CO"/>
              </w:rPr>
              <w:t xml:space="preserve">                                                                     </w:t>
            </w:r>
            <w:r w:rsidRPr="00EC340C">
              <w:rPr>
                <w:rFonts w:eastAsia="Calibri"/>
                <w:b/>
                <w:i/>
                <w:lang w:eastAsia="es-CO"/>
              </w:rPr>
              <w:t>RESERVA PRESUPUESTAL</w:t>
            </w:r>
          </w:p>
        </w:tc>
        <w:tc>
          <w:tcPr>
            <w:tcW w:w="2785" w:type="dxa"/>
            <w:shd w:val="clear" w:color="auto" w:fill="EFD3D2"/>
          </w:tcPr>
          <w:p w:rsidR="00164870" w:rsidRPr="00EC340C" w:rsidRDefault="00164870" w:rsidP="005D320F">
            <w:pPr>
              <w:pStyle w:val="Sinespaciado"/>
              <w:jc w:val="center"/>
              <w:rPr>
                <w:rFonts w:eastAsia="Calibri"/>
                <w:i/>
                <w:lang w:eastAsia="es-CO"/>
              </w:rPr>
            </w:pPr>
          </w:p>
        </w:tc>
      </w:tr>
      <w:tr w:rsidR="00164870" w:rsidRPr="004576DD" w:rsidTr="005D320F">
        <w:trPr>
          <w:trHeight w:val="190"/>
        </w:trPr>
        <w:tc>
          <w:tcPr>
            <w:tcW w:w="3102" w:type="dxa"/>
            <w:shd w:val="clear" w:color="auto" w:fill="auto"/>
            <w:hideMark/>
          </w:tcPr>
          <w:p w:rsidR="00164870" w:rsidRPr="006E1EB0" w:rsidRDefault="00164870" w:rsidP="005D320F">
            <w:pPr>
              <w:pStyle w:val="Sinespaciado"/>
              <w:rPr>
                <w:rFonts w:eastAsia="Calibri"/>
                <w:lang w:eastAsia="es-CO"/>
              </w:rPr>
            </w:pPr>
            <w:r w:rsidRPr="006E1EB0">
              <w:rPr>
                <w:lang w:eastAsia="es-CO"/>
              </w:rPr>
              <w:t>Gastos de personal</w:t>
            </w:r>
          </w:p>
        </w:tc>
        <w:tc>
          <w:tcPr>
            <w:tcW w:w="3400" w:type="dxa"/>
            <w:shd w:val="clear" w:color="auto" w:fill="auto"/>
            <w:hideMark/>
          </w:tcPr>
          <w:p w:rsidR="00164870" w:rsidRPr="00534674" w:rsidRDefault="00164870" w:rsidP="005D320F">
            <w:pPr>
              <w:pStyle w:val="Sinespaciado"/>
              <w:jc w:val="right"/>
              <w:rPr>
                <w:rFonts w:ascii="Arial" w:hAnsi="Arial" w:cs="Arial"/>
                <w:color w:val="595959"/>
                <w:sz w:val="20"/>
                <w:szCs w:val="20"/>
                <w:lang w:eastAsia="es-CO"/>
              </w:rPr>
            </w:pPr>
            <w:r w:rsidRPr="00534674">
              <w:rPr>
                <w:rFonts w:ascii="Arial" w:hAnsi="Arial" w:cs="Arial"/>
                <w:color w:val="595959"/>
                <w:sz w:val="20"/>
                <w:szCs w:val="20"/>
                <w:lang w:eastAsia="es-CO"/>
              </w:rPr>
              <w:t>46.921.019.00</w:t>
            </w:r>
          </w:p>
        </w:tc>
        <w:tc>
          <w:tcPr>
            <w:tcW w:w="2785" w:type="dxa"/>
          </w:tcPr>
          <w:p w:rsidR="00164870" w:rsidRPr="006E1EB0" w:rsidRDefault="00164870" w:rsidP="005D320F">
            <w:pPr>
              <w:pStyle w:val="Sinespaciado"/>
              <w:jc w:val="right"/>
              <w:rPr>
                <w:lang w:eastAsia="es-CO"/>
              </w:rPr>
            </w:pPr>
            <w:r>
              <w:rPr>
                <w:rFonts w:ascii="Arial" w:hAnsi="Arial" w:cs="Arial"/>
                <w:color w:val="595959"/>
                <w:sz w:val="20"/>
                <w:szCs w:val="20"/>
                <w:lang w:eastAsia="es-CO"/>
              </w:rPr>
              <w:t>44.627.533,00</w:t>
            </w:r>
          </w:p>
        </w:tc>
      </w:tr>
      <w:tr w:rsidR="00164870" w:rsidRPr="004576DD" w:rsidTr="005D320F">
        <w:trPr>
          <w:trHeight w:val="140"/>
        </w:trPr>
        <w:tc>
          <w:tcPr>
            <w:tcW w:w="3102" w:type="dxa"/>
            <w:shd w:val="clear" w:color="auto" w:fill="EFD3D2"/>
            <w:hideMark/>
          </w:tcPr>
          <w:p w:rsidR="00164870" w:rsidRPr="006E1EB0" w:rsidRDefault="00164870" w:rsidP="005D320F">
            <w:pPr>
              <w:pStyle w:val="Sinespaciado"/>
              <w:rPr>
                <w:rFonts w:eastAsia="Calibri"/>
                <w:lang w:eastAsia="es-CO"/>
              </w:rPr>
            </w:pPr>
            <w:r w:rsidRPr="006E1EB0">
              <w:rPr>
                <w:lang w:eastAsia="es-CO"/>
              </w:rPr>
              <w:t>Gastos Generales</w:t>
            </w:r>
          </w:p>
        </w:tc>
        <w:tc>
          <w:tcPr>
            <w:tcW w:w="3400" w:type="dxa"/>
            <w:tcBorders>
              <w:left w:val="nil"/>
              <w:right w:val="nil"/>
            </w:tcBorders>
            <w:shd w:val="clear" w:color="auto" w:fill="EFD3D2"/>
            <w:hideMark/>
          </w:tcPr>
          <w:p w:rsidR="00164870" w:rsidRPr="00534674" w:rsidRDefault="00164870" w:rsidP="005D320F">
            <w:pPr>
              <w:pStyle w:val="Sinespaciado"/>
              <w:jc w:val="right"/>
              <w:rPr>
                <w:rFonts w:ascii="Arial" w:hAnsi="Arial" w:cs="Arial"/>
                <w:color w:val="595959"/>
                <w:sz w:val="20"/>
                <w:szCs w:val="20"/>
                <w:lang w:eastAsia="es-CO"/>
              </w:rPr>
            </w:pPr>
            <w:r w:rsidRPr="00534674">
              <w:rPr>
                <w:rFonts w:ascii="Arial" w:hAnsi="Arial" w:cs="Arial"/>
                <w:color w:val="595959"/>
                <w:sz w:val="20"/>
                <w:szCs w:val="20"/>
                <w:lang w:eastAsia="es-CO"/>
              </w:rPr>
              <w:t>172.478.923.30</w:t>
            </w:r>
          </w:p>
        </w:tc>
        <w:tc>
          <w:tcPr>
            <w:tcW w:w="2785" w:type="dxa"/>
            <w:tcBorders>
              <w:left w:val="nil"/>
              <w:right w:val="nil"/>
            </w:tcBorders>
            <w:shd w:val="clear" w:color="auto" w:fill="EFD3D2"/>
          </w:tcPr>
          <w:p w:rsidR="00164870" w:rsidRPr="006E1EB0" w:rsidRDefault="00164870" w:rsidP="005D320F">
            <w:pPr>
              <w:pStyle w:val="Sinespaciado"/>
              <w:jc w:val="right"/>
              <w:rPr>
                <w:rFonts w:eastAsia="Calibri"/>
                <w:lang w:eastAsia="es-CO"/>
              </w:rPr>
            </w:pPr>
            <w:r>
              <w:rPr>
                <w:rFonts w:ascii="Arial" w:hAnsi="Arial" w:cs="Arial"/>
                <w:color w:val="595959"/>
                <w:sz w:val="20"/>
                <w:szCs w:val="20"/>
                <w:lang w:eastAsia="es-CO"/>
              </w:rPr>
              <w:t>172.475.663,92</w:t>
            </w:r>
          </w:p>
        </w:tc>
      </w:tr>
      <w:tr w:rsidR="00164870" w:rsidRPr="004576DD" w:rsidTr="005D320F">
        <w:trPr>
          <w:trHeight w:val="137"/>
        </w:trPr>
        <w:tc>
          <w:tcPr>
            <w:tcW w:w="3102" w:type="dxa"/>
            <w:shd w:val="clear" w:color="auto" w:fill="auto"/>
            <w:hideMark/>
          </w:tcPr>
          <w:p w:rsidR="00164870" w:rsidRPr="006E1EB0" w:rsidRDefault="00164870" w:rsidP="005D320F">
            <w:pPr>
              <w:pStyle w:val="Sinespaciado"/>
              <w:rPr>
                <w:rFonts w:eastAsia="Calibri"/>
                <w:lang w:eastAsia="es-CO"/>
              </w:rPr>
            </w:pPr>
            <w:r w:rsidRPr="006E1EB0">
              <w:rPr>
                <w:lang w:eastAsia="es-CO"/>
              </w:rPr>
              <w:t>Inversión</w:t>
            </w:r>
          </w:p>
        </w:tc>
        <w:tc>
          <w:tcPr>
            <w:tcW w:w="3400" w:type="dxa"/>
            <w:shd w:val="clear" w:color="auto" w:fill="auto"/>
            <w:hideMark/>
          </w:tcPr>
          <w:p w:rsidR="00164870" w:rsidRPr="00534674" w:rsidRDefault="00164870" w:rsidP="005D320F">
            <w:pPr>
              <w:pStyle w:val="Sinespaciado"/>
              <w:jc w:val="right"/>
              <w:rPr>
                <w:rFonts w:ascii="Arial" w:hAnsi="Arial" w:cs="Arial"/>
                <w:color w:val="595959"/>
                <w:sz w:val="20"/>
                <w:szCs w:val="20"/>
                <w:lang w:eastAsia="es-CO"/>
              </w:rPr>
            </w:pPr>
            <w:r w:rsidRPr="00534674">
              <w:rPr>
                <w:rFonts w:ascii="Arial" w:hAnsi="Arial" w:cs="Arial"/>
                <w:color w:val="595959"/>
                <w:sz w:val="20"/>
                <w:szCs w:val="20"/>
                <w:lang w:eastAsia="es-CO"/>
              </w:rPr>
              <w:t>3.699.012.247.01</w:t>
            </w:r>
          </w:p>
        </w:tc>
        <w:tc>
          <w:tcPr>
            <w:tcW w:w="2785" w:type="dxa"/>
          </w:tcPr>
          <w:p w:rsidR="00164870" w:rsidRPr="006E1EB0" w:rsidRDefault="00164870" w:rsidP="005D320F">
            <w:pPr>
              <w:pStyle w:val="Sinespaciado"/>
              <w:jc w:val="right"/>
              <w:rPr>
                <w:rFonts w:eastAsia="Calibri"/>
                <w:lang w:eastAsia="es-CO"/>
              </w:rPr>
            </w:pPr>
            <w:r>
              <w:rPr>
                <w:rFonts w:ascii="Arial" w:hAnsi="Arial" w:cs="Arial"/>
                <w:color w:val="595959"/>
                <w:sz w:val="20"/>
                <w:szCs w:val="20"/>
                <w:lang w:eastAsia="es-CO"/>
              </w:rPr>
              <w:t>1.442.664.379,68</w:t>
            </w:r>
          </w:p>
        </w:tc>
      </w:tr>
      <w:tr w:rsidR="00164870" w:rsidRPr="004576DD" w:rsidTr="005D320F">
        <w:trPr>
          <w:trHeight w:val="34"/>
        </w:trPr>
        <w:tc>
          <w:tcPr>
            <w:tcW w:w="3102" w:type="dxa"/>
            <w:shd w:val="clear" w:color="auto" w:fill="EFD3D2"/>
            <w:hideMark/>
          </w:tcPr>
          <w:p w:rsidR="00164870" w:rsidRPr="006E1EB0" w:rsidRDefault="00164870" w:rsidP="005D320F">
            <w:pPr>
              <w:pStyle w:val="Sinespaciado"/>
              <w:rPr>
                <w:rFonts w:eastAsia="Calibri"/>
                <w:iCs/>
                <w:lang w:eastAsia="es-CO"/>
              </w:rPr>
            </w:pPr>
            <w:r w:rsidRPr="006E1EB0">
              <w:rPr>
                <w:iCs/>
                <w:lang w:eastAsia="es-CO"/>
              </w:rPr>
              <w:t>Total Reserva Presupuestal</w:t>
            </w:r>
          </w:p>
        </w:tc>
        <w:tc>
          <w:tcPr>
            <w:tcW w:w="3400" w:type="dxa"/>
            <w:tcBorders>
              <w:left w:val="nil"/>
              <w:right w:val="nil"/>
            </w:tcBorders>
            <w:shd w:val="clear" w:color="auto" w:fill="EFD3D2"/>
            <w:hideMark/>
          </w:tcPr>
          <w:p w:rsidR="00164870" w:rsidRPr="00534674" w:rsidRDefault="00164870" w:rsidP="005D320F">
            <w:pPr>
              <w:pStyle w:val="Sinespaciado"/>
              <w:jc w:val="right"/>
              <w:rPr>
                <w:rFonts w:ascii="Arial" w:hAnsi="Arial" w:cs="Arial"/>
                <w:b/>
                <w:bCs/>
                <w:color w:val="595959"/>
                <w:sz w:val="20"/>
                <w:szCs w:val="20"/>
                <w:lang w:eastAsia="es-CO"/>
              </w:rPr>
            </w:pPr>
            <w:r w:rsidRPr="00534674">
              <w:rPr>
                <w:rFonts w:ascii="Arial" w:hAnsi="Arial" w:cs="Arial"/>
                <w:b/>
                <w:bCs/>
                <w:color w:val="595959"/>
                <w:sz w:val="20"/>
                <w:szCs w:val="20"/>
                <w:lang w:eastAsia="es-CO"/>
              </w:rPr>
              <w:t>3.918.412.189.31</w:t>
            </w:r>
          </w:p>
        </w:tc>
        <w:tc>
          <w:tcPr>
            <w:tcW w:w="2785" w:type="dxa"/>
            <w:tcBorders>
              <w:left w:val="nil"/>
              <w:right w:val="nil"/>
            </w:tcBorders>
            <w:shd w:val="clear" w:color="auto" w:fill="EFD3D2"/>
          </w:tcPr>
          <w:p w:rsidR="00164870" w:rsidRPr="00534674" w:rsidRDefault="00164870" w:rsidP="005D320F">
            <w:pPr>
              <w:pStyle w:val="Sinespaciado"/>
              <w:jc w:val="right"/>
              <w:rPr>
                <w:rFonts w:ascii="Arial" w:hAnsi="Arial" w:cs="Arial"/>
                <w:b/>
                <w:bCs/>
                <w:color w:val="595959"/>
                <w:sz w:val="20"/>
                <w:szCs w:val="20"/>
                <w:lang w:eastAsia="es-CO"/>
              </w:rPr>
            </w:pPr>
            <w:r>
              <w:rPr>
                <w:rFonts w:ascii="Arial" w:hAnsi="Arial" w:cs="Arial"/>
                <w:b/>
                <w:bCs/>
                <w:color w:val="595959"/>
                <w:sz w:val="20"/>
                <w:szCs w:val="20"/>
                <w:lang w:eastAsia="es-CO"/>
              </w:rPr>
              <w:t>1.659.767.576,60</w:t>
            </w:r>
          </w:p>
        </w:tc>
      </w:tr>
      <w:tr w:rsidR="00164870" w:rsidRPr="004576DD" w:rsidTr="005D320F">
        <w:trPr>
          <w:trHeight w:val="34"/>
        </w:trPr>
        <w:tc>
          <w:tcPr>
            <w:tcW w:w="6502" w:type="dxa"/>
            <w:gridSpan w:val="2"/>
            <w:shd w:val="clear" w:color="auto" w:fill="auto"/>
            <w:hideMark/>
          </w:tcPr>
          <w:p w:rsidR="00164870" w:rsidRPr="00EC340C" w:rsidRDefault="00164870" w:rsidP="005D320F">
            <w:pPr>
              <w:pStyle w:val="Sinespaciado"/>
              <w:jc w:val="center"/>
              <w:rPr>
                <w:rFonts w:eastAsia="Calibri"/>
                <w:b/>
                <w:i/>
                <w:lang w:eastAsia="es-CO"/>
              </w:rPr>
            </w:pPr>
            <w:r w:rsidRPr="00EC340C">
              <w:rPr>
                <w:rFonts w:eastAsia="Calibri"/>
                <w:b/>
                <w:i/>
                <w:lang w:eastAsia="es-CO"/>
              </w:rPr>
              <w:t xml:space="preserve">                                                                        CUENTAS POR PAGAR</w:t>
            </w:r>
          </w:p>
        </w:tc>
        <w:tc>
          <w:tcPr>
            <w:tcW w:w="2785" w:type="dxa"/>
          </w:tcPr>
          <w:p w:rsidR="00164870" w:rsidRPr="00EC340C" w:rsidRDefault="00164870" w:rsidP="005D320F">
            <w:pPr>
              <w:pStyle w:val="Sinespaciado"/>
              <w:jc w:val="center"/>
              <w:rPr>
                <w:rFonts w:eastAsia="Calibri"/>
                <w:b/>
                <w:i/>
                <w:sz w:val="24"/>
                <w:szCs w:val="24"/>
                <w:lang w:eastAsia="es-CO"/>
              </w:rPr>
            </w:pPr>
          </w:p>
        </w:tc>
      </w:tr>
      <w:tr w:rsidR="00164870" w:rsidRPr="004576DD" w:rsidTr="005D320F">
        <w:trPr>
          <w:trHeight w:val="34"/>
        </w:trPr>
        <w:tc>
          <w:tcPr>
            <w:tcW w:w="3102" w:type="dxa"/>
            <w:shd w:val="clear" w:color="auto" w:fill="EFD3D2"/>
            <w:hideMark/>
          </w:tcPr>
          <w:p w:rsidR="00164870" w:rsidRPr="006E1EB0" w:rsidRDefault="00164870" w:rsidP="005D320F">
            <w:pPr>
              <w:pStyle w:val="Sinespaciado"/>
              <w:rPr>
                <w:rFonts w:eastAsia="Calibri"/>
                <w:lang w:eastAsia="es-CO"/>
              </w:rPr>
            </w:pPr>
            <w:r w:rsidRPr="006E1EB0">
              <w:rPr>
                <w:lang w:eastAsia="es-CO"/>
              </w:rPr>
              <w:t>Gastos Generales</w:t>
            </w:r>
          </w:p>
        </w:tc>
        <w:tc>
          <w:tcPr>
            <w:tcW w:w="3400" w:type="dxa"/>
            <w:tcBorders>
              <w:left w:val="nil"/>
              <w:right w:val="nil"/>
            </w:tcBorders>
            <w:shd w:val="clear" w:color="auto" w:fill="EFD3D2"/>
            <w:hideMark/>
          </w:tcPr>
          <w:p w:rsidR="00164870" w:rsidRPr="00534674" w:rsidRDefault="00164870" w:rsidP="005D320F">
            <w:pPr>
              <w:pStyle w:val="Sinespaciado"/>
              <w:jc w:val="right"/>
              <w:rPr>
                <w:rFonts w:ascii="Arial" w:hAnsi="Arial" w:cs="Arial"/>
                <w:color w:val="595959"/>
                <w:sz w:val="20"/>
                <w:szCs w:val="20"/>
                <w:lang w:eastAsia="es-CO"/>
              </w:rPr>
            </w:pPr>
            <w:r w:rsidRPr="00534674">
              <w:rPr>
                <w:rFonts w:ascii="Arial" w:hAnsi="Arial" w:cs="Arial"/>
                <w:color w:val="595959"/>
                <w:sz w:val="20"/>
                <w:szCs w:val="20"/>
                <w:lang w:eastAsia="es-CO"/>
              </w:rPr>
              <w:t xml:space="preserve"> 61.870.809.27</w:t>
            </w:r>
          </w:p>
        </w:tc>
        <w:tc>
          <w:tcPr>
            <w:tcW w:w="2785" w:type="dxa"/>
            <w:tcBorders>
              <w:left w:val="nil"/>
              <w:right w:val="nil"/>
            </w:tcBorders>
            <w:shd w:val="clear" w:color="auto" w:fill="EFD3D2"/>
          </w:tcPr>
          <w:p w:rsidR="00164870" w:rsidRPr="006E1EB0" w:rsidRDefault="00164870" w:rsidP="005D320F">
            <w:pPr>
              <w:pStyle w:val="Sinespaciado"/>
              <w:jc w:val="right"/>
              <w:rPr>
                <w:rFonts w:eastAsia="Calibri"/>
                <w:lang w:eastAsia="es-CO"/>
              </w:rPr>
            </w:pPr>
            <w:r>
              <w:rPr>
                <w:rFonts w:ascii="Arial" w:hAnsi="Arial" w:cs="Arial"/>
                <w:color w:val="595959"/>
                <w:sz w:val="20"/>
                <w:szCs w:val="20"/>
                <w:lang w:eastAsia="es-CO"/>
              </w:rPr>
              <w:t>61.870.809,27</w:t>
            </w:r>
          </w:p>
        </w:tc>
      </w:tr>
      <w:tr w:rsidR="00164870" w:rsidRPr="004576DD" w:rsidTr="005D320F">
        <w:trPr>
          <w:trHeight w:val="34"/>
        </w:trPr>
        <w:tc>
          <w:tcPr>
            <w:tcW w:w="3102" w:type="dxa"/>
            <w:shd w:val="clear" w:color="auto" w:fill="auto"/>
            <w:hideMark/>
          </w:tcPr>
          <w:p w:rsidR="00164870" w:rsidRPr="006E1EB0" w:rsidRDefault="00164870" w:rsidP="005D320F">
            <w:pPr>
              <w:pStyle w:val="Sinespaciado"/>
              <w:rPr>
                <w:rFonts w:eastAsia="Calibri"/>
                <w:lang w:eastAsia="es-CO"/>
              </w:rPr>
            </w:pPr>
            <w:r w:rsidRPr="006E1EB0">
              <w:rPr>
                <w:lang w:eastAsia="es-CO"/>
              </w:rPr>
              <w:t>Inversión</w:t>
            </w:r>
          </w:p>
        </w:tc>
        <w:tc>
          <w:tcPr>
            <w:tcW w:w="3400" w:type="dxa"/>
            <w:shd w:val="clear" w:color="auto" w:fill="auto"/>
            <w:hideMark/>
          </w:tcPr>
          <w:p w:rsidR="00164870" w:rsidRPr="00534674" w:rsidRDefault="00164870" w:rsidP="005D320F">
            <w:pPr>
              <w:pStyle w:val="Sinespaciado"/>
              <w:jc w:val="right"/>
              <w:rPr>
                <w:rFonts w:ascii="Arial" w:hAnsi="Arial" w:cs="Arial"/>
                <w:color w:val="595959"/>
                <w:sz w:val="20"/>
                <w:szCs w:val="20"/>
                <w:lang w:eastAsia="es-CO"/>
              </w:rPr>
            </w:pPr>
            <w:r w:rsidRPr="00534674">
              <w:rPr>
                <w:rFonts w:ascii="Arial" w:hAnsi="Arial" w:cs="Arial"/>
                <w:color w:val="595959"/>
                <w:sz w:val="20"/>
                <w:szCs w:val="20"/>
                <w:lang w:eastAsia="es-CO"/>
              </w:rPr>
              <w:t>101.668.267.00</w:t>
            </w:r>
          </w:p>
        </w:tc>
        <w:tc>
          <w:tcPr>
            <w:tcW w:w="2785" w:type="dxa"/>
          </w:tcPr>
          <w:p w:rsidR="00164870" w:rsidRPr="006E1EB0" w:rsidRDefault="00164870" w:rsidP="005D320F">
            <w:pPr>
              <w:pStyle w:val="Sinespaciado"/>
              <w:jc w:val="right"/>
              <w:rPr>
                <w:rFonts w:eastAsia="Calibri"/>
                <w:lang w:eastAsia="es-CO"/>
              </w:rPr>
            </w:pPr>
            <w:r>
              <w:rPr>
                <w:rFonts w:ascii="Arial" w:hAnsi="Arial" w:cs="Arial"/>
                <w:color w:val="595959"/>
                <w:sz w:val="20"/>
                <w:szCs w:val="20"/>
                <w:lang w:eastAsia="es-CO"/>
              </w:rPr>
              <w:t>101.668.267,00</w:t>
            </w:r>
          </w:p>
        </w:tc>
      </w:tr>
      <w:tr w:rsidR="00164870" w:rsidRPr="004576DD" w:rsidTr="005D320F">
        <w:trPr>
          <w:trHeight w:val="34"/>
        </w:trPr>
        <w:tc>
          <w:tcPr>
            <w:tcW w:w="3102" w:type="dxa"/>
            <w:shd w:val="clear" w:color="auto" w:fill="EFD3D2"/>
            <w:hideMark/>
          </w:tcPr>
          <w:p w:rsidR="00164870" w:rsidRPr="006E1EB0" w:rsidRDefault="00164870" w:rsidP="005D320F">
            <w:pPr>
              <w:pStyle w:val="Sinespaciado"/>
              <w:rPr>
                <w:rFonts w:eastAsia="Calibri"/>
                <w:iCs/>
                <w:lang w:eastAsia="es-CO"/>
              </w:rPr>
            </w:pPr>
            <w:r w:rsidRPr="006E1EB0">
              <w:rPr>
                <w:iCs/>
                <w:lang w:eastAsia="es-CO"/>
              </w:rPr>
              <w:t>Total Cuentas por Pagar</w:t>
            </w:r>
          </w:p>
        </w:tc>
        <w:tc>
          <w:tcPr>
            <w:tcW w:w="3400" w:type="dxa"/>
            <w:tcBorders>
              <w:left w:val="nil"/>
              <w:right w:val="nil"/>
            </w:tcBorders>
            <w:shd w:val="clear" w:color="auto" w:fill="EFD3D2"/>
            <w:hideMark/>
          </w:tcPr>
          <w:p w:rsidR="00164870" w:rsidRPr="00534674" w:rsidRDefault="00164870" w:rsidP="005D320F">
            <w:pPr>
              <w:pStyle w:val="Sinespaciado"/>
              <w:jc w:val="right"/>
              <w:rPr>
                <w:rFonts w:ascii="Arial" w:hAnsi="Arial" w:cs="Arial"/>
                <w:b/>
                <w:bCs/>
                <w:color w:val="595959"/>
                <w:sz w:val="20"/>
                <w:szCs w:val="20"/>
                <w:lang w:eastAsia="es-CO"/>
              </w:rPr>
            </w:pPr>
            <w:r w:rsidRPr="00534674">
              <w:rPr>
                <w:rFonts w:ascii="Arial" w:hAnsi="Arial" w:cs="Arial"/>
                <w:b/>
                <w:bCs/>
                <w:color w:val="595959"/>
                <w:sz w:val="20"/>
                <w:szCs w:val="20"/>
                <w:lang w:eastAsia="es-CO"/>
              </w:rPr>
              <w:t xml:space="preserve">               163.539.076.27</w:t>
            </w:r>
          </w:p>
        </w:tc>
        <w:tc>
          <w:tcPr>
            <w:tcW w:w="2785" w:type="dxa"/>
            <w:tcBorders>
              <w:left w:val="nil"/>
              <w:right w:val="nil"/>
            </w:tcBorders>
            <w:shd w:val="clear" w:color="auto" w:fill="EFD3D2"/>
          </w:tcPr>
          <w:p w:rsidR="00164870" w:rsidRPr="00534674" w:rsidRDefault="00164870" w:rsidP="005D320F">
            <w:pPr>
              <w:pStyle w:val="Sinespaciado"/>
              <w:jc w:val="right"/>
              <w:rPr>
                <w:rFonts w:ascii="Arial" w:hAnsi="Arial" w:cs="Arial"/>
                <w:b/>
                <w:bCs/>
                <w:color w:val="595959"/>
                <w:sz w:val="20"/>
                <w:szCs w:val="20"/>
                <w:lang w:eastAsia="es-CO"/>
              </w:rPr>
            </w:pPr>
            <w:r>
              <w:rPr>
                <w:rFonts w:ascii="Arial" w:hAnsi="Arial" w:cs="Arial"/>
                <w:b/>
                <w:bCs/>
                <w:color w:val="595959"/>
                <w:sz w:val="20"/>
                <w:szCs w:val="20"/>
                <w:lang w:eastAsia="es-CO"/>
              </w:rPr>
              <w:t>163.539.076,27</w:t>
            </w:r>
          </w:p>
        </w:tc>
      </w:tr>
      <w:tr w:rsidR="00164870" w:rsidRPr="003A2FDB" w:rsidTr="005D320F">
        <w:trPr>
          <w:trHeight w:val="34"/>
        </w:trPr>
        <w:tc>
          <w:tcPr>
            <w:tcW w:w="3102" w:type="dxa"/>
            <w:shd w:val="clear" w:color="auto" w:fill="auto"/>
            <w:hideMark/>
          </w:tcPr>
          <w:p w:rsidR="00164870" w:rsidRPr="006E1EB0" w:rsidRDefault="00164870" w:rsidP="005D320F">
            <w:pPr>
              <w:pStyle w:val="Sinespaciado"/>
              <w:rPr>
                <w:rFonts w:eastAsia="Calibri"/>
                <w:lang w:eastAsia="es-CO"/>
              </w:rPr>
            </w:pPr>
            <w:r w:rsidRPr="006E1EB0">
              <w:rPr>
                <w:lang w:eastAsia="es-CO"/>
              </w:rPr>
              <w:t>TOTAL REZAGO PRESUPUESTAL</w:t>
            </w:r>
          </w:p>
        </w:tc>
        <w:tc>
          <w:tcPr>
            <w:tcW w:w="3400" w:type="dxa"/>
            <w:shd w:val="clear" w:color="auto" w:fill="auto"/>
          </w:tcPr>
          <w:p w:rsidR="00164870" w:rsidRPr="00534674" w:rsidRDefault="00164870" w:rsidP="005D320F">
            <w:pPr>
              <w:pStyle w:val="Sinespaciado"/>
              <w:jc w:val="right"/>
              <w:rPr>
                <w:rFonts w:ascii="Arial" w:hAnsi="Arial" w:cs="Arial"/>
                <w:b/>
                <w:bCs/>
                <w:color w:val="595959"/>
                <w:sz w:val="20"/>
                <w:szCs w:val="20"/>
                <w:lang w:eastAsia="es-CO"/>
              </w:rPr>
            </w:pPr>
            <w:r w:rsidRPr="00534674">
              <w:rPr>
                <w:rFonts w:ascii="Arial" w:hAnsi="Arial" w:cs="Arial"/>
                <w:b/>
                <w:bCs/>
                <w:color w:val="595959"/>
                <w:sz w:val="20"/>
                <w:szCs w:val="20"/>
                <w:lang w:eastAsia="es-CO"/>
              </w:rPr>
              <w:t xml:space="preserve">    4.081.951.265.58</w:t>
            </w:r>
          </w:p>
        </w:tc>
        <w:tc>
          <w:tcPr>
            <w:tcW w:w="2785" w:type="dxa"/>
          </w:tcPr>
          <w:p w:rsidR="00164870" w:rsidRPr="00534674" w:rsidRDefault="00164870" w:rsidP="005D320F">
            <w:pPr>
              <w:pStyle w:val="Sinespaciado"/>
              <w:jc w:val="right"/>
              <w:rPr>
                <w:rFonts w:ascii="Arial" w:hAnsi="Arial" w:cs="Arial"/>
                <w:b/>
                <w:bCs/>
                <w:color w:val="595959"/>
                <w:sz w:val="20"/>
                <w:szCs w:val="20"/>
                <w:lang w:eastAsia="es-CO"/>
              </w:rPr>
            </w:pPr>
            <w:r>
              <w:rPr>
                <w:rFonts w:ascii="Arial" w:hAnsi="Arial" w:cs="Arial"/>
                <w:b/>
                <w:bCs/>
                <w:color w:val="595959"/>
                <w:sz w:val="20"/>
                <w:szCs w:val="20"/>
                <w:lang w:eastAsia="es-CO"/>
              </w:rPr>
              <w:t>1.823.306.652,87</w:t>
            </w:r>
          </w:p>
        </w:tc>
      </w:tr>
    </w:tbl>
    <w:p w:rsidR="00164870" w:rsidRPr="00BF1F3A" w:rsidRDefault="00164870" w:rsidP="00164870">
      <w:pPr>
        <w:autoSpaceDE w:val="0"/>
        <w:autoSpaceDN w:val="0"/>
        <w:adjustRightInd w:val="0"/>
        <w:spacing w:before="240"/>
        <w:ind w:left="-142"/>
        <w:jc w:val="both"/>
        <w:rPr>
          <w:rFonts w:ascii="Arial" w:hAnsi="Arial" w:cs="Arial"/>
          <w:color w:val="000000" w:themeColor="text1"/>
          <w:lang w:eastAsia="es-CO"/>
        </w:rPr>
      </w:pPr>
      <w:r w:rsidRPr="00BF1F3A">
        <w:rPr>
          <w:rFonts w:ascii="Arial" w:hAnsi="Arial" w:cs="Arial"/>
          <w:color w:val="000000" w:themeColor="text1"/>
          <w:lang w:eastAsia="es-CO"/>
        </w:rPr>
        <w:t>De acuerdo con el cuadro anterior, de la reserva presupuestal constituida por valor de $3.918.412.189.31 se encuentra pendiente por cancelar la suma de $2.258.644.612,7. Así mismo, las cuentas por pagar se encuentran canceladas en su totalidad.</w:t>
      </w:r>
    </w:p>
    <w:p w:rsidR="00164870" w:rsidRDefault="00164870" w:rsidP="00164870">
      <w:pPr>
        <w:rPr>
          <w:lang w:eastAsia="es-CO"/>
        </w:rPr>
      </w:pPr>
    </w:p>
    <w:p w:rsidR="00647BB7" w:rsidRPr="007A61AE" w:rsidRDefault="00647BB7" w:rsidP="00647BB7">
      <w:pPr>
        <w:pStyle w:val="Prrafodelista"/>
        <w:numPr>
          <w:ilvl w:val="0"/>
          <w:numId w:val="19"/>
        </w:numPr>
        <w:jc w:val="both"/>
        <w:rPr>
          <w:rFonts w:ascii="Arial" w:hAnsi="Arial" w:cs="Arial"/>
          <w:b/>
        </w:rPr>
      </w:pPr>
      <w:r w:rsidRPr="007A61AE">
        <w:rPr>
          <w:rFonts w:ascii="Arial" w:hAnsi="Arial" w:cs="Arial"/>
          <w:b/>
        </w:rPr>
        <w:t>Políticas de Operación y Seguridad del SIIF Nación vigencia 201</w:t>
      </w:r>
      <w:r w:rsidR="00DD1C73" w:rsidRPr="007A61AE">
        <w:rPr>
          <w:rFonts w:ascii="Arial" w:hAnsi="Arial" w:cs="Arial"/>
          <w:b/>
        </w:rPr>
        <w:t>9</w:t>
      </w:r>
    </w:p>
    <w:p w:rsidR="00647BB7" w:rsidRPr="007A61AE" w:rsidRDefault="00647BB7" w:rsidP="004A61B4">
      <w:pPr>
        <w:autoSpaceDE w:val="0"/>
        <w:autoSpaceDN w:val="0"/>
        <w:adjustRightInd w:val="0"/>
        <w:jc w:val="both"/>
        <w:rPr>
          <w:b/>
        </w:rPr>
      </w:pPr>
    </w:p>
    <w:p w:rsidR="00DD1C73" w:rsidRDefault="00647BB7" w:rsidP="00647BB7">
      <w:pPr>
        <w:autoSpaceDE w:val="0"/>
        <w:autoSpaceDN w:val="0"/>
        <w:adjustRightInd w:val="0"/>
        <w:jc w:val="both"/>
        <w:rPr>
          <w:rFonts w:ascii="Arial" w:hAnsi="Arial" w:cs="Arial"/>
          <w:color w:val="404040"/>
        </w:rPr>
      </w:pPr>
      <w:r>
        <w:rPr>
          <w:rFonts w:ascii="Arial" w:hAnsi="Arial" w:cs="Arial"/>
          <w:color w:val="404040"/>
        </w:rPr>
        <w:t>El Grupo de Gestión Financiera de Función Pública</w:t>
      </w:r>
      <w:r w:rsidR="005C117C">
        <w:rPr>
          <w:rFonts w:ascii="Arial" w:hAnsi="Arial" w:cs="Arial"/>
          <w:color w:val="404040"/>
        </w:rPr>
        <w:t>,</w:t>
      </w:r>
      <w:r>
        <w:rPr>
          <w:rFonts w:ascii="Arial" w:hAnsi="Arial" w:cs="Arial"/>
          <w:color w:val="404040"/>
        </w:rPr>
        <w:t xml:space="preserve"> registra sus operaciones en SIIF Nación dando aplicabilidad al Decret</w:t>
      </w:r>
      <w:r w:rsidR="00DD1C73">
        <w:rPr>
          <w:rFonts w:ascii="Arial" w:hAnsi="Arial" w:cs="Arial"/>
          <w:color w:val="404040"/>
        </w:rPr>
        <w:t xml:space="preserve">o 2789 del 31 de agosto de 2004 y demás reglamentación </w:t>
      </w:r>
      <w:r w:rsidR="005C117C">
        <w:rPr>
          <w:rFonts w:ascii="Arial" w:hAnsi="Arial" w:cs="Arial"/>
          <w:color w:val="404040"/>
        </w:rPr>
        <w:t>expedida por</w:t>
      </w:r>
      <w:r w:rsidR="00DD1C73">
        <w:rPr>
          <w:rFonts w:ascii="Arial" w:hAnsi="Arial" w:cs="Arial"/>
          <w:color w:val="404040"/>
        </w:rPr>
        <w:t xml:space="preserve"> </w:t>
      </w:r>
      <w:r>
        <w:rPr>
          <w:rFonts w:ascii="Arial" w:hAnsi="Arial" w:cs="Arial"/>
          <w:color w:val="404040"/>
        </w:rPr>
        <w:t>el Ministerio de Hacienda y Crédito Público</w:t>
      </w:r>
      <w:r w:rsidR="00DD1C73">
        <w:rPr>
          <w:rFonts w:ascii="Arial" w:hAnsi="Arial" w:cs="Arial"/>
          <w:color w:val="404040"/>
        </w:rPr>
        <w:t>.</w:t>
      </w:r>
    </w:p>
    <w:p w:rsidR="00DD1C73" w:rsidRDefault="00DD1C73" w:rsidP="00647BB7">
      <w:pPr>
        <w:autoSpaceDE w:val="0"/>
        <w:autoSpaceDN w:val="0"/>
        <w:adjustRightInd w:val="0"/>
        <w:jc w:val="both"/>
        <w:rPr>
          <w:rFonts w:ascii="Arial" w:hAnsi="Arial" w:cs="Arial"/>
          <w:color w:val="404040"/>
        </w:rPr>
      </w:pPr>
    </w:p>
    <w:p w:rsidR="00FA0883" w:rsidRDefault="00DD1C73" w:rsidP="00647BB7">
      <w:pPr>
        <w:autoSpaceDE w:val="0"/>
        <w:autoSpaceDN w:val="0"/>
        <w:adjustRightInd w:val="0"/>
        <w:jc w:val="both"/>
        <w:rPr>
          <w:rFonts w:ascii="Arial" w:hAnsi="Arial" w:cs="Arial"/>
          <w:color w:val="404040"/>
        </w:rPr>
      </w:pPr>
      <w:r>
        <w:rPr>
          <w:rFonts w:ascii="Arial" w:hAnsi="Arial" w:cs="Arial"/>
          <w:color w:val="404040"/>
        </w:rPr>
        <w:t>En</w:t>
      </w:r>
      <w:r w:rsidRPr="00DD1C73">
        <w:rPr>
          <w:rFonts w:ascii="Arial" w:hAnsi="Arial" w:cs="Arial"/>
          <w:color w:val="404040"/>
        </w:rPr>
        <w:t xml:space="preserve"> cumplimiento de las políticas de seguridad contenidas en el Decreto No</w:t>
      </w:r>
      <w:r w:rsidR="005C117C">
        <w:rPr>
          <w:rFonts w:ascii="Arial" w:hAnsi="Arial" w:cs="Arial"/>
          <w:color w:val="404040"/>
        </w:rPr>
        <w:t>.</w:t>
      </w:r>
      <w:r w:rsidRPr="00DD1C73">
        <w:rPr>
          <w:rFonts w:ascii="Arial" w:hAnsi="Arial" w:cs="Arial"/>
          <w:color w:val="404040"/>
        </w:rPr>
        <w:t xml:space="preserve"> 1068 de mayo de 2015 Parte 9 y la Circular externa No</w:t>
      </w:r>
      <w:r w:rsidR="005C117C">
        <w:rPr>
          <w:rFonts w:ascii="Arial" w:hAnsi="Arial" w:cs="Arial"/>
          <w:color w:val="404040"/>
        </w:rPr>
        <w:t>.</w:t>
      </w:r>
      <w:r w:rsidRPr="00DD1C73">
        <w:rPr>
          <w:rFonts w:ascii="Arial" w:hAnsi="Arial" w:cs="Arial"/>
          <w:color w:val="404040"/>
        </w:rPr>
        <w:t xml:space="preserve"> 040 de octubre de 2015; expedidos por el Ministerio d</w:t>
      </w:r>
      <w:r>
        <w:rPr>
          <w:rFonts w:ascii="Arial" w:hAnsi="Arial" w:cs="Arial"/>
          <w:color w:val="404040"/>
        </w:rPr>
        <w:t>e Hacienda y Crédito Público</w:t>
      </w:r>
      <w:r w:rsidR="00FA0883">
        <w:rPr>
          <w:rFonts w:ascii="Arial" w:hAnsi="Arial" w:cs="Arial"/>
          <w:color w:val="404040"/>
        </w:rPr>
        <w:t xml:space="preserve">, </w:t>
      </w:r>
      <w:r w:rsidR="00FA0883" w:rsidRPr="00FA0883">
        <w:rPr>
          <w:rFonts w:ascii="Arial" w:hAnsi="Arial" w:cs="Arial"/>
          <w:color w:val="404040"/>
        </w:rPr>
        <w:t xml:space="preserve">a </w:t>
      </w:r>
      <w:r w:rsidR="005C117C" w:rsidRPr="00FA0883">
        <w:rPr>
          <w:rFonts w:ascii="Arial" w:hAnsi="Arial" w:cs="Arial"/>
          <w:color w:val="404040"/>
        </w:rPr>
        <w:t>continuación,</w:t>
      </w:r>
      <w:r w:rsidR="00FA0883" w:rsidRPr="00FA0883">
        <w:rPr>
          <w:rFonts w:ascii="Arial" w:hAnsi="Arial" w:cs="Arial"/>
          <w:color w:val="404040"/>
        </w:rPr>
        <w:t xml:space="preserve"> se presentan las conclusiones del </w:t>
      </w:r>
      <w:r w:rsidR="00FA0883" w:rsidRPr="00FA0883">
        <w:rPr>
          <w:rFonts w:ascii="Arial" w:hAnsi="Arial" w:cs="Arial"/>
          <w:color w:val="404040"/>
        </w:rPr>
        <w:lastRenderedPageBreak/>
        <w:t>seguimiento realizado a las políticas de operación y seguridad del SIIF Nación, el cual permite salvaguardar la integridad, confidencialidad y disponibilidad de la información financiera:</w:t>
      </w:r>
    </w:p>
    <w:p w:rsidR="00FA0883" w:rsidRDefault="00FA0883" w:rsidP="00FA0883">
      <w:pPr>
        <w:pStyle w:val="Prrafodelista"/>
        <w:numPr>
          <w:ilvl w:val="0"/>
          <w:numId w:val="23"/>
        </w:numPr>
        <w:autoSpaceDE w:val="0"/>
        <w:autoSpaceDN w:val="0"/>
        <w:adjustRightInd w:val="0"/>
        <w:spacing w:before="240" w:after="200" w:line="276" w:lineRule="auto"/>
        <w:jc w:val="both"/>
        <w:rPr>
          <w:rFonts w:ascii="Arial" w:hAnsi="Arial" w:cs="Arial"/>
          <w:color w:val="404040"/>
        </w:rPr>
      </w:pPr>
      <w:r w:rsidRPr="00BF1F3A">
        <w:rPr>
          <w:rFonts w:ascii="Arial" w:hAnsi="Arial" w:cs="Arial"/>
          <w:color w:val="404040"/>
          <w:shd w:val="clear" w:color="auto" w:fill="FFFFFF" w:themeFill="background1"/>
        </w:rPr>
        <w:t>El Departamento</w:t>
      </w:r>
      <w:r w:rsidRPr="00FA0883">
        <w:rPr>
          <w:rFonts w:ascii="Arial" w:hAnsi="Arial" w:cs="Arial"/>
          <w:color w:val="404040"/>
        </w:rPr>
        <w:t xml:space="preserve"> viene dando estricto cumplimiento a lo establecido en el art 33 del decreto </w:t>
      </w:r>
      <w:r w:rsidR="005C117C">
        <w:rPr>
          <w:rFonts w:ascii="Arial" w:hAnsi="Arial" w:cs="Arial"/>
          <w:color w:val="404040"/>
        </w:rPr>
        <w:t xml:space="preserve">No. </w:t>
      </w:r>
      <w:r w:rsidRPr="00FA0883">
        <w:rPr>
          <w:rFonts w:ascii="Arial" w:hAnsi="Arial" w:cs="Arial"/>
          <w:color w:val="404040"/>
        </w:rPr>
        <w:t>2674 de 2012</w:t>
      </w:r>
      <w:r>
        <w:rPr>
          <w:rFonts w:ascii="Arial" w:hAnsi="Arial" w:cs="Arial"/>
          <w:color w:val="404040"/>
        </w:rPr>
        <w:t xml:space="preserve"> (consolidado en el Decreto </w:t>
      </w:r>
      <w:r w:rsidR="005C117C">
        <w:rPr>
          <w:rFonts w:ascii="Arial" w:hAnsi="Arial" w:cs="Arial"/>
          <w:color w:val="404040"/>
        </w:rPr>
        <w:t xml:space="preserve">No. </w:t>
      </w:r>
      <w:r>
        <w:rPr>
          <w:rFonts w:ascii="Arial" w:hAnsi="Arial" w:cs="Arial"/>
          <w:color w:val="404040"/>
        </w:rPr>
        <w:t>1068 de 2015)</w:t>
      </w:r>
      <w:r w:rsidRPr="00FA0883">
        <w:rPr>
          <w:rFonts w:ascii="Arial" w:hAnsi="Arial" w:cs="Arial"/>
          <w:color w:val="404040"/>
        </w:rPr>
        <w:t>, en el sentido de no contar con otro software financiero diferente al SIIF-Nación para el registro y ejecución de la información presupuestal y contable.</w:t>
      </w:r>
    </w:p>
    <w:p w:rsidR="00FA0883" w:rsidRDefault="00FA0883" w:rsidP="00FA0883">
      <w:pPr>
        <w:numPr>
          <w:ilvl w:val="0"/>
          <w:numId w:val="23"/>
        </w:numPr>
        <w:autoSpaceDE w:val="0"/>
        <w:autoSpaceDN w:val="0"/>
        <w:adjustRightInd w:val="0"/>
        <w:spacing w:before="240" w:after="200" w:line="276" w:lineRule="auto"/>
        <w:jc w:val="both"/>
        <w:rPr>
          <w:rFonts w:ascii="Arial" w:hAnsi="Arial" w:cs="Arial"/>
          <w:color w:val="404040"/>
        </w:rPr>
      </w:pPr>
      <w:r w:rsidRPr="00FA0883">
        <w:rPr>
          <w:rFonts w:ascii="Arial" w:hAnsi="Arial" w:cs="Arial"/>
          <w:color w:val="404040"/>
        </w:rPr>
        <w:t xml:space="preserve">Los Estados Contables presentados para la rendición de cuentas a la Contraloría General de la República, son tomados del sistema oficial SIIF-Nación. </w:t>
      </w:r>
    </w:p>
    <w:p w:rsidR="004F6A9F" w:rsidRDefault="004F6A9F" w:rsidP="00FA0883">
      <w:pPr>
        <w:numPr>
          <w:ilvl w:val="0"/>
          <w:numId w:val="23"/>
        </w:numPr>
        <w:autoSpaceDE w:val="0"/>
        <w:autoSpaceDN w:val="0"/>
        <w:adjustRightInd w:val="0"/>
        <w:spacing w:before="240" w:after="200" w:line="276" w:lineRule="auto"/>
        <w:jc w:val="both"/>
        <w:rPr>
          <w:rFonts w:ascii="Arial" w:hAnsi="Arial" w:cs="Arial"/>
          <w:color w:val="404040"/>
        </w:rPr>
      </w:pPr>
      <w:r w:rsidRPr="004F6A9F">
        <w:rPr>
          <w:rFonts w:ascii="Arial" w:hAnsi="Arial" w:cs="Arial"/>
          <w:color w:val="404040"/>
        </w:rPr>
        <w:t>El artículo 15 - Responsabilidades de la Coordinación del SIIF en la Entidad: El Coordinador SIIF Entidad será responsable de la implantación de las medidas de seguridad señaladas por el Comité Operativo y de Seguridad y de la administración de los usuarios de la Entidad, referente a este punto se obtuvieron los siguientes resultados:</w:t>
      </w:r>
    </w:p>
    <w:p w:rsidR="004F6A9F" w:rsidRPr="007F6633" w:rsidRDefault="004F6A9F" w:rsidP="007F6633">
      <w:pPr>
        <w:pStyle w:val="Prrafodelista"/>
        <w:numPr>
          <w:ilvl w:val="0"/>
          <w:numId w:val="28"/>
        </w:numPr>
        <w:autoSpaceDE w:val="0"/>
        <w:autoSpaceDN w:val="0"/>
        <w:adjustRightInd w:val="0"/>
        <w:spacing w:before="240" w:after="200" w:line="276" w:lineRule="auto"/>
        <w:jc w:val="both"/>
        <w:rPr>
          <w:rFonts w:ascii="Arial" w:hAnsi="Arial" w:cs="Arial"/>
          <w:color w:val="404040"/>
        </w:rPr>
      </w:pPr>
      <w:r w:rsidRPr="007F6633">
        <w:rPr>
          <w:rFonts w:ascii="Arial" w:hAnsi="Arial" w:cs="Arial"/>
          <w:color w:val="404040"/>
        </w:rPr>
        <w:t>Responder por la creación de usuarios</w:t>
      </w:r>
    </w:p>
    <w:p w:rsidR="004F6A9F" w:rsidRDefault="004F6A9F" w:rsidP="004F6A9F">
      <w:pPr>
        <w:autoSpaceDE w:val="0"/>
        <w:autoSpaceDN w:val="0"/>
        <w:adjustRightInd w:val="0"/>
        <w:spacing w:before="240" w:after="200" w:line="276" w:lineRule="auto"/>
        <w:jc w:val="both"/>
        <w:rPr>
          <w:rFonts w:ascii="Arial" w:hAnsi="Arial" w:cs="Arial"/>
          <w:color w:val="404040"/>
        </w:rPr>
      </w:pPr>
      <w:r w:rsidRPr="004F6A9F">
        <w:rPr>
          <w:rFonts w:ascii="Arial" w:hAnsi="Arial" w:cs="Arial"/>
          <w:color w:val="404040"/>
        </w:rPr>
        <w:t>A continuación, se presenta un cuadro detallando el número de usuarios creados</w:t>
      </w:r>
      <w:r w:rsidR="006A7928">
        <w:rPr>
          <w:rFonts w:ascii="Arial" w:hAnsi="Arial" w:cs="Arial"/>
          <w:color w:val="404040"/>
        </w:rPr>
        <w:t xml:space="preserve"> y activos</w:t>
      </w:r>
      <w:r w:rsidRPr="004F6A9F">
        <w:rPr>
          <w:rFonts w:ascii="Arial" w:hAnsi="Arial" w:cs="Arial"/>
          <w:color w:val="404040"/>
        </w:rPr>
        <w:t xml:space="preserve"> por la entidad ante el SIIF Nación, así como el estado de cada uno de ellos</w:t>
      </w:r>
      <w:r w:rsidR="00D67E21">
        <w:rPr>
          <w:rFonts w:ascii="Arial" w:hAnsi="Arial" w:cs="Arial"/>
          <w:color w:val="404040"/>
        </w:rPr>
        <w:t xml:space="preserve"> (Reporte de usuarios SIIF – 12-11-2019):</w:t>
      </w:r>
    </w:p>
    <w:tbl>
      <w:tblPr>
        <w:tblStyle w:val="Tabladelista4-nfasis11"/>
        <w:tblW w:w="0" w:type="auto"/>
        <w:tblLook w:val="04A0" w:firstRow="1" w:lastRow="0" w:firstColumn="1" w:lastColumn="0" w:noHBand="0" w:noVBand="1"/>
      </w:tblPr>
      <w:tblGrid>
        <w:gridCol w:w="2303"/>
        <w:gridCol w:w="2303"/>
        <w:gridCol w:w="2303"/>
        <w:gridCol w:w="2303"/>
      </w:tblGrid>
      <w:tr w:rsidR="00D67E21" w:rsidTr="006A79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D67E21" w:rsidRPr="005A088C" w:rsidRDefault="00D67E21" w:rsidP="00D67E21">
            <w:pPr>
              <w:autoSpaceDE w:val="0"/>
              <w:autoSpaceDN w:val="0"/>
              <w:adjustRightInd w:val="0"/>
              <w:spacing w:before="240" w:after="200" w:line="276" w:lineRule="auto"/>
              <w:jc w:val="center"/>
              <w:rPr>
                <w:rFonts w:ascii="Arial" w:hAnsi="Arial" w:cs="Arial"/>
                <w:i/>
                <w:sz w:val="18"/>
                <w:szCs w:val="18"/>
              </w:rPr>
            </w:pPr>
            <w:r w:rsidRPr="005A088C">
              <w:rPr>
                <w:rFonts w:ascii="Arial" w:hAnsi="Arial" w:cs="Arial"/>
                <w:i/>
                <w:sz w:val="18"/>
                <w:szCs w:val="18"/>
              </w:rPr>
              <w:t>AREA</w:t>
            </w:r>
          </w:p>
        </w:tc>
        <w:tc>
          <w:tcPr>
            <w:tcW w:w="2303" w:type="dxa"/>
          </w:tcPr>
          <w:p w:rsidR="00D67E21" w:rsidRPr="005A088C" w:rsidRDefault="00D67E21" w:rsidP="00D67E21">
            <w:pPr>
              <w:autoSpaceDE w:val="0"/>
              <w:autoSpaceDN w:val="0"/>
              <w:adjustRightInd w:val="0"/>
              <w:spacing w:before="240" w:after="20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sz w:val="18"/>
                <w:szCs w:val="18"/>
              </w:rPr>
            </w:pPr>
            <w:r w:rsidRPr="005A088C">
              <w:rPr>
                <w:rFonts w:ascii="Arial" w:hAnsi="Arial" w:cs="Arial"/>
                <w:i/>
                <w:sz w:val="18"/>
                <w:szCs w:val="18"/>
              </w:rPr>
              <w:t>USUARIO</w:t>
            </w:r>
          </w:p>
        </w:tc>
        <w:tc>
          <w:tcPr>
            <w:tcW w:w="2303" w:type="dxa"/>
          </w:tcPr>
          <w:p w:rsidR="00D67E21" w:rsidRPr="005A088C" w:rsidRDefault="00D67E21" w:rsidP="00D67E21">
            <w:pPr>
              <w:autoSpaceDE w:val="0"/>
              <w:autoSpaceDN w:val="0"/>
              <w:adjustRightInd w:val="0"/>
              <w:spacing w:before="240" w:after="20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sz w:val="18"/>
                <w:szCs w:val="18"/>
              </w:rPr>
            </w:pPr>
            <w:r w:rsidRPr="005A088C">
              <w:rPr>
                <w:rFonts w:ascii="Arial" w:hAnsi="Arial" w:cs="Arial"/>
                <w:i/>
                <w:sz w:val="18"/>
                <w:szCs w:val="18"/>
              </w:rPr>
              <w:t>FECHA EXPIRACIÓN</w:t>
            </w:r>
          </w:p>
        </w:tc>
        <w:tc>
          <w:tcPr>
            <w:tcW w:w="2303" w:type="dxa"/>
          </w:tcPr>
          <w:p w:rsidR="00D67E21" w:rsidRPr="005A088C" w:rsidRDefault="00A71041" w:rsidP="00D67E21">
            <w:pPr>
              <w:autoSpaceDE w:val="0"/>
              <w:autoSpaceDN w:val="0"/>
              <w:adjustRightInd w:val="0"/>
              <w:spacing w:before="240" w:after="200"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i/>
                <w:sz w:val="18"/>
                <w:szCs w:val="18"/>
              </w:rPr>
            </w:pPr>
            <w:r w:rsidRPr="005A088C">
              <w:rPr>
                <w:rFonts w:ascii="Arial" w:hAnsi="Arial" w:cs="Arial"/>
                <w:i/>
                <w:sz w:val="18"/>
                <w:szCs w:val="18"/>
              </w:rPr>
              <w:t>ACTIVO/INACTIVO</w:t>
            </w:r>
          </w:p>
        </w:tc>
      </w:tr>
      <w:tr w:rsidR="006A7928" w:rsidRPr="000A5F49" w:rsidTr="006A7928">
        <w:trPr>
          <w:cnfStyle w:val="000000100000" w:firstRow="0" w:lastRow="0" w:firstColumn="0" w:lastColumn="0" w:oddVBand="0" w:evenVBand="0" w:oddHBand="1" w:evenHBand="0" w:firstRowFirstColumn="0" w:firstRowLastColumn="0" w:lastRowFirstColumn="0" w:lastRowLastColumn="0"/>
          <w:trHeight w:val="463"/>
        </w:trPr>
        <w:tc>
          <w:tcPr>
            <w:cnfStyle w:val="001000000000" w:firstRow="0" w:lastRow="0" w:firstColumn="1" w:lastColumn="0" w:oddVBand="0" w:evenVBand="0" w:oddHBand="0" w:evenHBand="0" w:firstRowFirstColumn="0" w:firstRowLastColumn="0" w:lastRowFirstColumn="0" w:lastRowLastColumn="0"/>
            <w:tcW w:w="2303" w:type="dxa"/>
            <w:vMerge w:val="restart"/>
          </w:tcPr>
          <w:p w:rsidR="006A7928" w:rsidRDefault="006A7928" w:rsidP="000A5F49">
            <w:pPr>
              <w:pStyle w:val="Sinespaciado"/>
              <w:rPr>
                <w:color w:val="767171" w:themeColor="background2" w:themeShade="80"/>
              </w:rPr>
            </w:pPr>
          </w:p>
          <w:p w:rsidR="006A7928" w:rsidRDefault="006A7928" w:rsidP="000A5F49">
            <w:pPr>
              <w:pStyle w:val="Sinespaciado"/>
              <w:rPr>
                <w:color w:val="767171" w:themeColor="background2" w:themeShade="80"/>
              </w:rPr>
            </w:pPr>
          </w:p>
          <w:p w:rsidR="006A7928" w:rsidRDefault="006A7928" w:rsidP="000A5F49">
            <w:pPr>
              <w:pStyle w:val="Sinespaciado"/>
              <w:rPr>
                <w:color w:val="767171" w:themeColor="background2" w:themeShade="80"/>
              </w:rPr>
            </w:pPr>
          </w:p>
          <w:p w:rsidR="006A7928" w:rsidRDefault="006A7928" w:rsidP="000A5F49">
            <w:pPr>
              <w:pStyle w:val="Sinespaciado"/>
              <w:rPr>
                <w:color w:val="767171" w:themeColor="background2" w:themeShade="80"/>
              </w:rPr>
            </w:pPr>
          </w:p>
          <w:p w:rsidR="006A7928" w:rsidRDefault="006A7928" w:rsidP="000A5F49">
            <w:pPr>
              <w:pStyle w:val="Sinespaciado"/>
              <w:rPr>
                <w:color w:val="767171" w:themeColor="background2" w:themeShade="80"/>
              </w:rPr>
            </w:pPr>
          </w:p>
          <w:p w:rsidR="006A7928" w:rsidRDefault="006A7928" w:rsidP="000A5F49">
            <w:pPr>
              <w:pStyle w:val="Sinespaciado"/>
              <w:rPr>
                <w:color w:val="767171" w:themeColor="background2" w:themeShade="80"/>
              </w:rPr>
            </w:pPr>
          </w:p>
          <w:p w:rsidR="006A7928" w:rsidRDefault="006A7928" w:rsidP="000A5F49">
            <w:pPr>
              <w:pStyle w:val="Sinespaciado"/>
              <w:rPr>
                <w:color w:val="767171" w:themeColor="background2" w:themeShade="80"/>
              </w:rPr>
            </w:pPr>
          </w:p>
          <w:p w:rsidR="006A7928" w:rsidRDefault="006A7928" w:rsidP="000A5F49">
            <w:pPr>
              <w:pStyle w:val="Sinespaciado"/>
              <w:rPr>
                <w:color w:val="767171" w:themeColor="background2" w:themeShade="80"/>
              </w:rPr>
            </w:pPr>
          </w:p>
          <w:p w:rsidR="006A7928" w:rsidRPr="000A5F49" w:rsidRDefault="006A7928" w:rsidP="000A5F49">
            <w:pPr>
              <w:pStyle w:val="Sinespaciado"/>
              <w:rPr>
                <w:b w:val="0"/>
                <w:bCs w:val="0"/>
                <w:color w:val="767171" w:themeColor="background2" w:themeShade="80"/>
              </w:rPr>
            </w:pPr>
            <w:r w:rsidRPr="000A5F49">
              <w:rPr>
                <w:color w:val="767171" w:themeColor="background2" w:themeShade="80"/>
              </w:rPr>
              <w:t>Financiera</w:t>
            </w:r>
          </w:p>
          <w:p w:rsidR="006A7928" w:rsidRPr="000A5F49" w:rsidRDefault="006A7928" w:rsidP="000A5F49">
            <w:pPr>
              <w:pStyle w:val="Sinespaciado"/>
              <w:rPr>
                <w:color w:val="767171" w:themeColor="background2" w:themeShade="80"/>
              </w:rPr>
            </w:pPr>
          </w:p>
        </w:tc>
        <w:tc>
          <w:tcPr>
            <w:tcW w:w="2303" w:type="dxa"/>
          </w:tcPr>
          <w:p w:rsidR="006A7928" w:rsidRPr="000A5F49" w:rsidRDefault="006A7928" w:rsidP="000A5F49">
            <w:pPr>
              <w:pStyle w:val="Sinespaciado"/>
              <w:cnfStyle w:val="000000100000" w:firstRow="0" w:lastRow="0" w:firstColumn="0" w:lastColumn="0" w:oddVBand="0" w:evenVBand="0" w:oddHBand="1" w:evenHBand="0" w:firstRowFirstColumn="0" w:firstRowLastColumn="0" w:lastRowFirstColumn="0" w:lastRowLastColumn="0"/>
              <w:rPr>
                <w:color w:val="767171" w:themeColor="background2" w:themeShade="80"/>
              </w:rPr>
            </w:pPr>
            <w:r w:rsidRPr="000A5F49">
              <w:rPr>
                <w:color w:val="767171" w:themeColor="background2" w:themeShade="80"/>
              </w:rPr>
              <w:t>Camargo cadena Jenny Constanza</w:t>
            </w:r>
          </w:p>
        </w:tc>
        <w:tc>
          <w:tcPr>
            <w:tcW w:w="2303" w:type="dxa"/>
          </w:tcPr>
          <w:p w:rsidR="006A7928" w:rsidRPr="000A5F49" w:rsidRDefault="006A7928" w:rsidP="000A5F49">
            <w:pPr>
              <w:pStyle w:val="Sinespaciado"/>
              <w:jc w:val="center"/>
              <w:cnfStyle w:val="000000100000" w:firstRow="0" w:lastRow="0" w:firstColumn="0" w:lastColumn="0" w:oddVBand="0" w:evenVBand="0" w:oddHBand="1" w:evenHBand="0" w:firstRowFirstColumn="0" w:firstRowLastColumn="0" w:lastRowFirstColumn="0" w:lastRowLastColumn="0"/>
              <w:rPr>
                <w:color w:val="767171" w:themeColor="background2" w:themeShade="80"/>
              </w:rPr>
            </w:pPr>
            <w:r w:rsidRPr="000A5F49">
              <w:rPr>
                <w:color w:val="767171" w:themeColor="background2" w:themeShade="80"/>
              </w:rPr>
              <w:t>2019-12-21</w:t>
            </w:r>
          </w:p>
        </w:tc>
        <w:tc>
          <w:tcPr>
            <w:tcW w:w="2303" w:type="dxa"/>
          </w:tcPr>
          <w:p w:rsidR="006A7928" w:rsidRPr="000A5F49" w:rsidRDefault="00A71041" w:rsidP="00A71041">
            <w:pPr>
              <w:pStyle w:val="Sinespaciado"/>
              <w:jc w:val="center"/>
              <w:cnfStyle w:val="000000100000" w:firstRow="0" w:lastRow="0" w:firstColumn="0" w:lastColumn="0" w:oddVBand="0" w:evenVBand="0" w:oddHBand="1" w:evenHBand="0" w:firstRowFirstColumn="0" w:firstRowLastColumn="0" w:lastRowFirstColumn="0" w:lastRowLastColumn="0"/>
              <w:rPr>
                <w:color w:val="767171" w:themeColor="background2" w:themeShade="80"/>
              </w:rPr>
            </w:pPr>
            <w:r>
              <w:rPr>
                <w:color w:val="767171" w:themeColor="background2" w:themeShade="80"/>
              </w:rPr>
              <w:t>Activo</w:t>
            </w:r>
          </w:p>
        </w:tc>
      </w:tr>
      <w:tr w:rsidR="00A71041" w:rsidRPr="000A5F49" w:rsidTr="006A7928">
        <w:trPr>
          <w:trHeight w:val="402"/>
        </w:trPr>
        <w:tc>
          <w:tcPr>
            <w:cnfStyle w:val="001000000000" w:firstRow="0" w:lastRow="0" w:firstColumn="1" w:lastColumn="0" w:oddVBand="0" w:evenVBand="0" w:oddHBand="0" w:evenHBand="0" w:firstRowFirstColumn="0" w:firstRowLastColumn="0" w:lastRowFirstColumn="0" w:lastRowLastColumn="0"/>
            <w:tcW w:w="2303" w:type="dxa"/>
            <w:vMerge/>
          </w:tcPr>
          <w:p w:rsidR="00A71041" w:rsidRPr="000A5F49" w:rsidRDefault="00A71041" w:rsidP="000A5F49">
            <w:pPr>
              <w:pStyle w:val="Sinespaciado"/>
              <w:rPr>
                <w:color w:val="767171" w:themeColor="background2" w:themeShade="80"/>
              </w:rPr>
            </w:pPr>
          </w:p>
        </w:tc>
        <w:tc>
          <w:tcPr>
            <w:tcW w:w="2303" w:type="dxa"/>
          </w:tcPr>
          <w:p w:rsidR="00A71041" w:rsidRPr="000A5F49" w:rsidRDefault="00A71041" w:rsidP="000A5F49">
            <w:pPr>
              <w:pStyle w:val="Sinespaciado"/>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0A5F49">
              <w:rPr>
                <w:color w:val="767171" w:themeColor="background2" w:themeShade="80"/>
              </w:rPr>
              <w:t>Gavilán Villamil Sandra Monica</w:t>
            </w:r>
          </w:p>
        </w:tc>
        <w:tc>
          <w:tcPr>
            <w:tcW w:w="2303" w:type="dxa"/>
          </w:tcPr>
          <w:p w:rsidR="00A71041" w:rsidRPr="000A5F49" w:rsidRDefault="00A71041" w:rsidP="000A5F49">
            <w:pPr>
              <w:pStyle w:val="Sinespaciado"/>
              <w:jc w:val="center"/>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0A5F49">
              <w:rPr>
                <w:color w:val="767171" w:themeColor="background2" w:themeShade="80"/>
              </w:rPr>
              <w:t>2020-05-20</w:t>
            </w:r>
          </w:p>
        </w:tc>
        <w:tc>
          <w:tcPr>
            <w:tcW w:w="2303" w:type="dxa"/>
          </w:tcPr>
          <w:p w:rsidR="00A71041" w:rsidRDefault="00A71041" w:rsidP="00A71041">
            <w:pPr>
              <w:jc w:val="center"/>
              <w:cnfStyle w:val="000000000000" w:firstRow="0" w:lastRow="0" w:firstColumn="0" w:lastColumn="0" w:oddVBand="0" w:evenVBand="0" w:oddHBand="0" w:evenHBand="0" w:firstRowFirstColumn="0" w:firstRowLastColumn="0" w:lastRowFirstColumn="0" w:lastRowLastColumn="0"/>
            </w:pPr>
            <w:r w:rsidRPr="006553E0">
              <w:rPr>
                <w:color w:val="767171" w:themeColor="background2" w:themeShade="80"/>
              </w:rPr>
              <w:t>Activo</w:t>
            </w:r>
          </w:p>
        </w:tc>
      </w:tr>
      <w:tr w:rsidR="00A71041" w:rsidRPr="000A5F49" w:rsidTr="006A7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vMerge/>
          </w:tcPr>
          <w:p w:rsidR="00A71041" w:rsidRPr="000A5F49" w:rsidRDefault="00A71041" w:rsidP="000A5F49">
            <w:pPr>
              <w:pStyle w:val="Sinespaciado"/>
              <w:rPr>
                <w:color w:val="767171" w:themeColor="background2" w:themeShade="80"/>
              </w:rPr>
            </w:pPr>
          </w:p>
        </w:tc>
        <w:tc>
          <w:tcPr>
            <w:tcW w:w="2303" w:type="dxa"/>
          </w:tcPr>
          <w:p w:rsidR="00A71041" w:rsidRPr="000A5F49" w:rsidRDefault="00A71041" w:rsidP="000A5F49">
            <w:pPr>
              <w:pStyle w:val="Sinespaciado"/>
              <w:cnfStyle w:val="000000100000" w:firstRow="0" w:lastRow="0" w:firstColumn="0" w:lastColumn="0" w:oddVBand="0" w:evenVBand="0" w:oddHBand="1" w:evenHBand="0" w:firstRowFirstColumn="0" w:firstRowLastColumn="0" w:lastRowFirstColumn="0" w:lastRowLastColumn="0"/>
              <w:rPr>
                <w:color w:val="767171" w:themeColor="background2" w:themeShade="80"/>
              </w:rPr>
            </w:pPr>
            <w:r w:rsidRPr="000A5F49">
              <w:rPr>
                <w:color w:val="767171" w:themeColor="background2" w:themeShade="80"/>
              </w:rPr>
              <w:t>Herrera Martinez Yenny marcela</w:t>
            </w:r>
          </w:p>
        </w:tc>
        <w:tc>
          <w:tcPr>
            <w:tcW w:w="2303" w:type="dxa"/>
          </w:tcPr>
          <w:p w:rsidR="00A71041" w:rsidRPr="000A5F49" w:rsidRDefault="00A71041" w:rsidP="000A5F49">
            <w:pPr>
              <w:pStyle w:val="Sinespaciado"/>
              <w:jc w:val="center"/>
              <w:cnfStyle w:val="000000100000" w:firstRow="0" w:lastRow="0" w:firstColumn="0" w:lastColumn="0" w:oddVBand="0" w:evenVBand="0" w:oddHBand="1" w:evenHBand="0" w:firstRowFirstColumn="0" w:firstRowLastColumn="0" w:lastRowFirstColumn="0" w:lastRowLastColumn="0"/>
              <w:rPr>
                <w:color w:val="767171" w:themeColor="background2" w:themeShade="80"/>
              </w:rPr>
            </w:pPr>
            <w:r w:rsidRPr="000A5F49">
              <w:rPr>
                <w:color w:val="767171" w:themeColor="background2" w:themeShade="80"/>
              </w:rPr>
              <w:t>2020-01-24</w:t>
            </w:r>
          </w:p>
        </w:tc>
        <w:tc>
          <w:tcPr>
            <w:tcW w:w="2303" w:type="dxa"/>
          </w:tcPr>
          <w:p w:rsidR="00A71041" w:rsidRDefault="00A71041" w:rsidP="00A71041">
            <w:pPr>
              <w:jc w:val="center"/>
              <w:cnfStyle w:val="000000100000" w:firstRow="0" w:lastRow="0" w:firstColumn="0" w:lastColumn="0" w:oddVBand="0" w:evenVBand="0" w:oddHBand="1" w:evenHBand="0" w:firstRowFirstColumn="0" w:firstRowLastColumn="0" w:lastRowFirstColumn="0" w:lastRowLastColumn="0"/>
            </w:pPr>
            <w:r w:rsidRPr="006553E0">
              <w:rPr>
                <w:color w:val="767171" w:themeColor="background2" w:themeShade="80"/>
              </w:rPr>
              <w:t>Activo</w:t>
            </w:r>
          </w:p>
        </w:tc>
      </w:tr>
      <w:tr w:rsidR="00A71041" w:rsidRPr="000A5F49" w:rsidTr="006A7928">
        <w:tc>
          <w:tcPr>
            <w:cnfStyle w:val="001000000000" w:firstRow="0" w:lastRow="0" w:firstColumn="1" w:lastColumn="0" w:oddVBand="0" w:evenVBand="0" w:oddHBand="0" w:evenHBand="0" w:firstRowFirstColumn="0" w:firstRowLastColumn="0" w:lastRowFirstColumn="0" w:lastRowLastColumn="0"/>
            <w:tcW w:w="2303" w:type="dxa"/>
            <w:vMerge/>
          </w:tcPr>
          <w:p w:rsidR="00A71041" w:rsidRPr="000A5F49" w:rsidRDefault="00A71041" w:rsidP="000A5F49">
            <w:pPr>
              <w:pStyle w:val="Sinespaciado"/>
              <w:rPr>
                <w:color w:val="767171" w:themeColor="background2" w:themeShade="80"/>
              </w:rPr>
            </w:pPr>
          </w:p>
        </w:tc>
        <w:tc>
          <w:tcPr>
            <w:tcW w:w="2303" w:type="dxa"/>
          </w:tcPr>
          <w:p w:rsidR="00A71041" w:rsidRPr="000A5F49" w:rsidRDefault="00A71041" w:rsidP="00A71041">
            <w:pPr>
              <w:pStyle w:val="Sinespaciado"/>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0A5F49">
              <w:rPr>
                <w:color w:val="767171" w:themeColor="background2" w:themeShade="80"/>
              </w:rPr>
              <w:t xml:space="preserve">Jimenez Mongui </w:t>
            </w:r>
            <w:r>
              <w:rPr>
                <w:color w:val="767171" w:themeColor="background2" w:themeShade="80"/>
              </w:rPr>
              <w:t>D</w:t>
            </w:r>
            <w:r w:rsidRPr="000A5F49">
              <w:rPr>
                <w:color w:val="767171" w:themeColor="background2" w:themeShade="80"/>
              </w:rPr>
              <w:t>iana Soulangel</w:t>
            </w:r>
          </w:p>
        </w:tc>
        <w:tc>
          <w:tcPr>
            <w:tcW w:w="2303" w:type="dxa"/>
          </w:tcPr>
          <w:p w:rsidR="00A71041" w:rsidRPr="000A5F49" w:rsidRDefault="00A71041" w:rsidP="000A5F49">
            <w:pPr>
              <w:pStyle w:val="Sinespaciado"/>
              <w:jc w:val="center"/>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0A5F49">
              <w:rPr>
                <w:color w:val="767171" w:themeColor="background2" w:themeShade="80"/>
              </w:rPr>
              <w:t>2020-10-09</w:t>
            </w:r>
          </w:p>
        </w:tc>
        <w:tc>
          <w:tcPr>
            <w:tcW w:w="2303" w:type="dxa"/>
          </w:tcPr>
          <w:p w:rsidR="00A71041" w:rsidRDefault="00A71041" w:rsidP="00A71041">
            <w:pPr>
              <w:jc w:val="center"/>
              <w:cnfStyle w:val="000000000000" w:firstRow="0" w:lastRow="0" w:firstColumn="0" w:lastColumn="0" w:oddVBand="0" w:evenVBand="0" w:oddHBand="0" w:evenHBand="0" w:firstRowFirstColumn="0" w:firstRowLastColumn="0" w:lastRowFirstColumn="0" w:lastRowLastColumn="0"/>
            </w:pPr>
            <w:r w:rsidRPr="006553E0">
              <w:rPr>
                <w:color w:val="767171" w:themeColor="background2" w:themeShade="80"/>
              </w:rPr>
              <w:t>Activo</w:t>
            </w:r>
          </w:p>
        </w:tc>
      </w:tr>
      <w:tr w:rsidR="00A71041" w:rsidRPr="000A5F49" w:rsidTr="006A7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vMerge/>
          </w:tcPr>
          <w:p w:rsidR="00A71041" w:rsidRPr="000A5F49" w:rsidRDefault="00A71041" w:rsidP="000A5F49">
            <w:pPr>
              <w:pStyle w:val="Sinespaciado"/>
              <w:rPr>
                <w:color w:val="767171" w:themeColor="background2" w:themeShade="80"/>
              </w:rPr>
            </w:pPr>
          </w:p>
        </w:tc>
        <w:tc>
          <w:tcPr>
            <w:tcW w:w="2303" w:type="dxa"/>
          </w:tcPr>
          <w:p w:rsidR="00A71041" w:rsidRPr="000A5F49" w:rsidRDefault="00A71041" w:rsidP="000A5F49">
            <w:pPr>
              <w:pStyle w:val="Sinespaciado"/>
              <w:cnfStyle w:val="000000100000" w:firstRow="0" w:lastRow="0" w:firstColumn="0" w:lastColumn="0" w:oddVBand="0" w:evenVBand="0" w:oddHBand="1" w:evenHBand="0" w:firstRowFirstColumn="0" w:firstRowLastColumn="0" w:lastRowFirstColumn="0" w:lastRowLastColumn="0"/>
              <w:rPr>
                <w:color w:val="767171" w:themeColor="background2" w:themeShade="80"/>
              </w:rPr>
            </w:pPr>
            <w:r w:rsidRPr="000A5F49">
              <w:rPr>
                <w:color w:val="767171" w:themeColor="background2" w:themeShade="80"/>
              </w:rPr>
              <w:t>Prieto Benavides Claudia Milena</w:t>
            </w:r>
          </w:p>
        </w:tc>
        <w:tc>
          <w:tcPr>
            <w:tcW w:w="2303" w:type="dxa"/>
          </w:tcPr>
          <w:p w:rsidR="00A71041" w:rsidRPr="000A5F49" w:rsidRDefault="00A71041" w:rsidP="000A5F49">
            <w:pPr>
              <w:pStyle w:val="Sinespaciado"/>
              <w:jc w:val="center"/>
              <w:cnfStyle w:val="000000100000" w:firstRow="0" w:lastRow="0" w:firstColumn="0" w:lastColumn="0" w:oddVBand="0" w:evenVBand="0" w:oddHBand="1" w:evenHBand="0" w:firstRowFirstColumn="0" w:firstRowLastColumn="0" w:lastRowFirstColumn="0" w:lastRowLastColumn="0"/>
              <w:rPr>
                <w:color w:val="767171" w:themeColor="background2" w:themeShade="80"/>
              </w:rPr>
            </w:pPr>
            <w:r w:rsidRPr="000A5F49">
              <w:rPr>
                <w:color w:val="767171" w:themeColor="background2" w:themeShade="80"/>
              </w:rPr>
              <w:t>2020-01-24</w:t>
            </w:r>
          </w:p>
        </w:tc>
        <w:tc>
          <w:tcPr>
            <w:tcW w:w="2303" w:type="dxa"/>
          </w:tcPr>
          <w:p w:rsidR="00A71041" w:rsidRDefault="00A71041" w:rsidP="00A71041">
            <w:pPr>
              <w:jc w:val="center"/>
              <w:cnfStyle w:val="000000100000" w:firstRow="0" w:lastRow="0" w:firstColumn="0" w:lastColumn="0" w:oddVBand="0" w:evenVBand="0" w:oddHBand="1" w:evenHBand="0" w:firstRowFirstColumn="0" w:firstRowLastColumn="0" w:lastRowFirstColumn="0" w:lastRowLastColumn="0"/>
            </w:pPr>
            <w:r w:rsidRPr="006553E0">
              <w:rPr>
                <w:color w:val="767171" w:themeColor="background2" w:themeShade="80"/>
              </w:rPr>
              <w:t>Activo</w:t>
            </w:r>
          </w:p>
        </w:tc>
      </w:tr>
      <w:tr w:rsidR="00A71041" w:rsidRPr="000A5F49" w:rsidTr="006A7928">
        <w:tc>
          <w:tcPr>
            <w:cnfStyle w:val="001000000000" w:firstRow="0" w:lastRow="0" w:firstColumn="1" w:lastColumn="0" w:oddVBand="0" w:evenVBand="0" w:oddHBand="0" w:evenHBand="0" w:firstRowFirstColumn="0" w:firstRowLastColumn="0" w:lastRowFirstColumn="0" w:lastRowLastColumn="0"/>
            <w:tcW w:w="2303" w:type="dxa"/>
            <w:vMerge/>
          </w:tcPr>
          <w:p w:rsidR="00A71041" w:rsidRPr="000A5F49" w:rsidRDefault="00A71041" w:rsidP="000A5F49">
            <w:pPr>
              <w:pStyle w:val="Sinespaciado"/>
              <w:rPr>
                <w:color w:val="767171" w:themeColor="background2" w:themeShade="80"/>
              </w:rPr>
            </w:pPr>
          </w:p>
        </w:tc>
        <w:tc>
          <w:tcPr>
            <w:tcW w:w="2303" w:type="dxa"/>
          </w:tcPr>
          <w:p w:rsidR="00A71041" w:rsidRPr="000A5F49" w:rsidRDefault="00A71041" w:rsidP="000A5F49">
            <w:pPr>
              <w:pStyle w:val="Sinespaciado"/>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0A5F49">
              <w:rPr>
                <w:color w:val="767171" w:themeColor="background2" w:themeShade="80"/>
              </w:rPr>
              <w:t>Sáenz Chacon Lyda</w:t>
            </w:r>
          </w:p>
        </w:tc>
        <w:tc>
          <w:tcPr>
            <w:tcW w:w="2303" w:type="dxa"/>
          </w:tcPr>
          <w:p w:rsidR="00A71041" w:rsidRDefault="00A71041" w:rsidP="000A5F49">
            <w:pPr>
              <w:pStyle w:val="Sinespaciado"/>
              <w:jc w:val="center"/>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0A5F49">
              <w:rPr>
                <w:color w:val="767171" w:themeColor="background2" w:themeShade="80"/>
              </w:rPr>
              <w:t>2020-10-15</w:t>
            </w:r>
          </w:p>
          <w:p w:rsidR="00A71041" w:rsidRPr="000A5F49" w:rsidRDefault="00A71041" w:rsidP="000A5F49">
            <w:pPr>
              <w:pStyle w:val="Sinespaciado"/>
              <w:jc w:val="center"/>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tc>
        <w:tc>
          <w:tcPr>
            <w:tcW w:w="2303" w:type="dxa"/>
          </w:tcPr>
          <w:p w:rsidR="00A71041" w:rsidRDefault="00A71041" w:rsidP="00A71041">
            <w:pPr>
              <w:jc w:val="center"/>
              <w:cnfStyle w:val="000000000000" w:firstRow="0" w:lastRow="0" w:firstColumn="0" w:lastColumn="0" w:oddVBand="0" w:evenVBand="0" w:oddHBand="0" w:evenHBand="0" w:firstRowFirstColumn="0" w:firstRowLastColumn="0" w:lastRowFirstColumn="0" w:lastRowLastColumn="0"/>
            </w:pPr>
            <w:r w:rsidRPr="006553E0">
              <w:rPr>
                <w:color w:val="767171" w:themeColor="background2" w:themeShade="80"/>
              </w:rPr>
              <w:t>Activo</w:t>
            </w:r>
          </w:p>
        </w:tc>
      </w:tr>
      <w:tr w:rsidR="00A71041" w:rsidRPr="000A5F49" w:rsidTr="006A7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vMerge/>
          </w:tcPr>
          <w:p w:rsidR="00A71041" w:rsidRPr="000A5F49" w:rsidRDefault="00A71041" w:rsidP="000A5F49">
            <w:pPr>
              <w:pStyle w:val="Sinespaciado"/>
              <w:rPr>
                <w:color w:val="767171" w:themeColor="background2" w:themeShade="80"/>
              </w:rPr>
            </w:pPr>
          </w:p>
        </w:tc>
        <w:tc>
          <w:tcPr>
            <w:tcW w:w="2303" w:type="dxa"/>
          </w:tcPr>
          <w:p w:rsidR="00A71041" w:rsidRPr="000A5F49" w:rsidRDefault="00A71041" w:rsidP="000A5F49">
            <w:pPr>
              <w:pStyle w:val="Sinespaciado"/>
              <w:cnfStyle w:val="000000100000" w:firstRow="0" w:lastRow="0" w:firstColumn="0" w:lastColumn="0" w:oddVBand="0" w:evenVBand="0" w:oddHBand="1" w:evenHBand="0" w:firstRowFirstColumn="0" w:firstRowLastColumn="0" w:lastRowFirstColumn="0" w:lastRowLastColumn="0"/>
              <w:rPr>
                <w:color w:val="767171" w:themeColor="background2" w:themeShade="80"/>
              </w:rPr>
            </w:pPr>
            <w:r>
              <w:rPr>
                <w:color w:val="767171" w:themeColor="background2" w:themeShade="80"/>
              </w:rPr>
              <w:t>P</w:t>
            </w:r>
            <w:r w:rsidRPr="00407FF8">
              <w:rPr>
                <w:color w:val="767171" w:themeColor="background2" w:themeShade="80"/>
              </w:rPr>
              <w:t>inzon Garcia José Daniel</w:t>
            </w:r>
          </w:p>
        </w:tc>
        <w:tc>
          <w:tcPr>
            <w:tcW w:w="2303" w:type="dxa"/>
          </w:tcPr>
          <w:p w:rsidR="00A71041" w:rsidRPr="000A5F49" w:rsidRDefault="00A71041" w:rsidP="000A5F49">
            <w:pPr>
              <w:pStyle w:val="Sinespaciado"/>
              <w:jc w:val="center"/>
              <w:cnfStyle w:val="000000100000" w:firstRow="0" w:lastRow="0" w:firstColumn="0" w:lastColumn="0" w:oddVBand="0" w:evenVBand="0" w:oddHBand="1" w:evenHBand="0" w:firstRowFirstColumn="0" w:firstRowLastColumn="0" w:lastRowFirstColumn="0" w:lastRowLastColumn="0"/>
              <w:rPr>
                <w:color w:val="767171" w:themeColor="background2" w:themeShade="80"/>
              </w:rPr>
            </w:pPr>
            <w:r w:rsidRPr="00407FF8">
              <w:rPr>
                <w:color w:val="767171" w:themeColor="background2" w:themeShade="80"/>
              </w:rPr>
              <w:t>2019-12-12</w:t>
            </w:r>
          </w:p>
        </w:tc>
        <w:tc>
          <w:tcPr>
            <w:tcW w:w="2303" w:type="dxa"/>
          </w:tcPr>
          <w:p w:rsidR="00A71041" w:rsidRDefault="00A71041" w:rsidP="00A71041">
            <w:pPr>
              <w:jc w:val="center"/>
              <w:cnfStyle w:val="000000100000" w:firstRow="0" w:lastRow="0" w:firstColumn="0" w:lastColumn="0" w:oddVBand="0" w:evenVBand="0" w:oddHBand="1" w:evenHBand="0" w:firstRowFirstColumn="0" w:firstRowLastColumn="0" w:lastRowFirstColumn="0" w:lastRowLastColumn="0"/>
            </w:pPr>
            <w:r w:rsidRPr="006553E0">
              <w:rPr>
                <w:color w:val="767171" w:themeColor="background2" w:themeShade="80"/>
              </w:rPr>
              <w:t>Activo</w:t>
            </w:r>
          </w:p>
        </w:tc>
      </w:tr>
      <w:tr w:rsidR="00A71041" w:rsidRPr="000A5F49" w:rsidTr="006A7928">
        <w:tc>
          <w:tcPr>
            <w:cnfStyle w:val="001000000000" w:firstRow="0" w:lastRow="0" w:firstColumn="1" w:lastColumn="0" w:oddVBand="0" w:evenVBand="0" w:oddHBand="0" w:evenHBand="0" w:firstRowFirstColumn="0" w:firstRowLastColumn="0" w:lastRowFirstColumn="0" w:lastRowLastColumn="0"/>
            <w:tcW w:w="2303" w:type="dxa"/>
            <w:vMerge/>
          </w:tcPr>
          <w:p w:rsidR="00A71041" w:rsidRPr="000A5F49" w:rsidRDefault="00A71041" w:rsidP="000A5F49">
            <w:pPr>
              <w:pStyle w:val="Sinespaciado"/>
              <w:rPr>
                <w:color w:val="767171" w:themeColor="background2" w:themeShade="80"/>
              </w:rPr>
            </w:pPr>
          </w:p>
        </w:tc>
        <w:tc>
          <w:tcPr>
            <w:tcW w:w="2303" w:type="dxa"/>
          </w:tcPr>
          <w:p w:rsidR="00A71041" w:rsidRPr="000A5F49" w:rsidRDefault="00A71041" w:rsidP="000A5F49">
            <w:pPr>
              <w:pStyle w:val="Sinespaciado"/>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0A5F49">
              <w:rPr>
                <w:color w:val="767171" w:themeColor="background2" w:themeShade="80"/>
              </w:rPr>
              <w:t>Siabato Lozano Nohora Constanza</w:t>
            </w:r>
          </w:p>
        </w:tc>
        <w:tc>
          <w:tcPr>
            <w:tcW w:w="2303" w:type="dxa"/>
          </w:tcPr>
          <w:p w:rsidR="00A71041" w:rsidRPr="000A5F49" w:rsidRDefault="00A71041" w:rsidP="000A5F49">
            <w:pPr>
              <w:pStyle w:val="Sinespaciado"/>
              <w:jc w:val="center"/>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Pr>
                <w:color w:val="767171" w:themeColor="background2" w:themeShade="80"/>
              </w:rPr>
              <w:t>2020-08-27</w:t>
            </w:r>
          </w:p>
        </w:tc>
        <w:tc>
          <w:tcPr>
            <w:tcW w:w="2303" w:type="dxa"/>
          </w:tcPr>
          <w:p w:rsidR="00A71041" w:rsidRDefault="00A71041" w:rsidP="00A71041">
            <w:pPr>
              <w:jc w:val="center"/>
              <w:cnfStyle w:val="000000000000" w:firstRow="0" w:lastRow="0" w:firstColumn="0" w:lastColumn="0" w:oddVBand="0" w:evenVBand="0" w:oddHBand="0" w:evenHBand="0" w:firstRowFirstColumn="0" w:firstRowLastColumn="0" w:lastRowFirstColumn="0" w:lastRowLastColumn="0"/>
            </w:pPr>
            <w:r w:rsidRPr="006553E0">
              <w:rPr>
                <w:color w:val="767171" w:themeColor="background2" w:themeShade="80"/>
              </w:rPr>
              <w:t>Activo</w:t>
            </w:r>
          </w:p>
        </w:tc>
      </w:tr>
      <w:tr w:rsidR="00A71041" w:rsidRPr="000A5F49" w:rsidTr="006A7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A71041" w:rsidRPr="000A5F49" w:rsidRDefault="00A71041" w:rsidP="000A5F49">
            <w:pPr>
              <w:pStyle w:val="Sinespaciado"/>
              <w:rPr>
                <w:color w:val="767171" w:themeColor="background2" w:themeShade="80"/>
              </w:rPr>
            </w:pPr>
            <w:r w:rsidRPr="000A5F49">
              <w:rPr>
                <w:color w:val="767171" w:themeColor="background2" w:themeShade="80"/>
              </w:rPr>
              <w:t>Administrativa</w:t>
            </w:r>
          </w:p>
        </w:tc>
        <w:tc>
          <w:tcPr>
            <w:tcW w:w="2303" w:type="dxa"/>
          </w:tcPr>
          <w:p w:rsidR="00A71041" w:rsidRPr="000A5F49" w:rsidRDefault="00A71041" w:rsidP="000A5F49">
            <w:pPr>
              <w:pStyle w:val="Sinespaciado"/>
              <w:cnfStyle w:val="000000100000" w:firstRow="0" w:lastRow="0" w:firstColumn="0" w:lastColumn="0" w:oddVBand="0" w:evenVBand="0" w:oddHBand="1" w:evenHBand="0" w:firstRowFirstColumn="0" w:firstRowLastColumn="0" w:lastRowFirstColumn="0" w:lastRowLastColumn="0"/>
              <w:rPr>
                <w:color w:val="767171" w:themeColor="background2" w:themeShade="80"/>
              </w:rPr>
            </w:pPr>
            <w:r w:rsidRPr="000A5F49">
              <w:rPr>
                <w:color w:val="767171" w:themeColor="background2" w:themeShade="80"/>
              </w:rPr>
              <w:t>Rodriguez Pena Maria Priscila</w:t>
            </w:r>
          </w:p>
        </w:tc>
        <w:tc>
          <w:tcPr>
            <w:tcW w:w="2303" w:type="dxa"/>
          </w:tcPr>
          <w:p w:rsidR="00A71041" w:rsidRPr="000A5F49" w:rsidRDefault="00A71041" w:rsidP="000A5F49">
            <w:pPr>
              <w:pStyle w:val="Sinespaciado"/>
              <w:jc w:val="center"/>
              <w:cnfStyle w:val="000000100000" w:firstRow="0" w:lastRow="0" w:firstColumn="0" w:lastColumn="0" w:oddVBand="0" w:evenVBand="0" w:oddHBand="1" w:evenHBand="0" w:firstRowFirstColumn="0" w:firstRowLastColumn="0" w:lastRowFirstColumn="0" w:lastRowLastColumn="0"/>
              <w:rPr>
                <w:color w:val="767171" w:themeColor="background2" w:themeShade="80"/>
              </w:rPr>
            </w:pPr>
            <w:r w:rsidRPr="000A5F49">
              <w:rPr>
                <w:color w:val="767171" w:themeColor="background2" w:themeShade="80"/>
              </w:rPr>
              <w:t>2020</w:t>
            </w:r>
            <w:r>
              <w:rPr>
                <w:color w:val="767171" w:themeColor="background2" w:themeShade="80"/>
              </w:rPr>
              <w:t>-01-03</w:t>
            </w:r>
          </w:p>
        </w:tc>
        <w:tc>
          <w:tcPr>
            <w:tcW w:w="2303" w:type="dxa"/>
          </w:tcPr>
          <w:p w:rsidR="00A71041" w:rsidRDefault="00A71041" w:rsidP="00A71041">
            <w:pPr>
              <w:jc w:val="center"/>
              <w:cnfStyle w:val="000000100000" w:firstRow="0" w:lastRow="0" w:firstColumn="0" w:lastColumn="0" w:oddVBand="0" w:evenVBand="0" w:oddHBand="1" w:evenHBand="0" w:firstRowFirstColumn="0" w:firstRowLastColumn="0" w:lastRowFirstColumn="0" w:lastRowLastColumn="0"/>
            </w:pPr>
            <w:r w:rsidRPr="006553E0">
              <w:rPr>
                <w:color w:val="767171" w:themeColor="background2" w:themeShade="80"/>
              </w:rPr>
              <w:t>Activo</w:t>
            </w:r>
          </w:p>
        </w:tc>
      </w:tr>
      <w:tr w:rsidR="00A71041" w:rsidRPr="000A5F49" w:rsidTr="006A7928">
        <w:tc>
          <w:tcPr>
            <w:cnfStyle w:val="001000000000" w:firstRow="0" w:lastRow="0" w:firstColumn="1" w:lastColumn="0" w:oddVBand="0" w:evenVBand="0" w:oddHBand="0" w:evenHBand="0" w:firstRowFirstColumn="0" w:firstRowLastColumn="0" w:lastRowFirstColumn="0" w:lastRowLastColumn="0"/>
            <w:tcW w:w="2303" w:type="dxa"/>
          </w:tcPr>
          <w:p w:rsidR="00A71041" w:rsidRPr="000A5F49" w:rsidRDefault="00A71041" w:rsidP="000A5F49">
            <w:pPr>
              <w:pStyle w:val="Sinespaciado"/>
              <w:rPr>
                <w:color w:val="767171" w:themeColor="background2" w:themeShade="80"/>
              </w:rPr>
            </w:pPr>
            <w:r w:rsidRPr="000A5F49">
              <w:rPr>
                <w:color w:val="767171" w:themeColor="background2" w:themeShade="80"/>
              </w:rPr>
              <w:t>Oficina Asesora de Planeación</w:t>
            </w:r>
          </w:p>
        </w:tc>
        <w:tc>
          <w:tcPr>
            <w:tcW w:w="2303" w:type="dxa"/>
          </w:tcPr>
          <w:p w:rsidR="00A71041" w:rsidRDefault="00A71041" w:rsidP="000A5F49">
            <w:pPr>
              <w:pStyle w:val="Sinespaciado"/>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0A5F49">
              <w:rPr>
                <w:color w:val="767171" w:themeColor="background2" w:themeShade="80"/>
              </w:rPr>
              <w:t>Vargas Lopez Liliana Maria</w:t>
            </w:r>
          </w:p>
          <w:p w:rsidR="00547E20" w:rsidRDefault="00547E20" w:rsidP="000A5F49">
            <w:pPr>
              <w:pStyle w:val="Sinespaciado"/>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p w:rsidR="003805A5" w:rsidRPr="000A5F49" w:rsidRDefault="003805A5" w:rsidP="000A5F49">
            <w:pPr>
              <w:pStyle w:val="Sinespaciado"/>
              <w:cnfStyle w:val="000000000000" w:firstRow="0" w:lastRow="0" w:firstColumn="0" w:lastColumn="0" w:oddVBand="0" w:evenVBand="0" w:oddHBand="0" w:evenHBand="0" w:firstRowFirstColumn="0" w:firstRowLastColumn="0" w:lastRowFirstColumn="0" w:lastRowLastColumn="0"/>
              <w:rPr>
                <w:color w:val="767171" w:themeColor="background2" w:themeShade="80"/>
              </w:rPr>
            </w:pPr>
          </w:p>
        </w:tc>
        <w:tc>
          <w:tcPr>
            <w:tcW w:w="2303" w:type="dxa"/>
          </w:tcPr>
          <w:p w:rsidR="00A71041" w:rsidRPr="000A5F49" w:rsidRDefault="00A71041" w:rsidP="000A5F49">
            <w:pPr>
              <w:pStyle w:val="Sinespaciado"/>
              <w:jc w:val="center"/>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0A5F49">
              <w:rPr>
                <w:color w:val="767171" w:themeColor="background2" w:themeShade="80"/>
              </w:rPr>
              <w:lastRenderedPageBreak/>
              <w:t>2020-09-08</w:t>
            </w:r>
          </w:p>
        </w:tc>
        <w:tc>
          <w:tcPr>
            <w:tcW w:w="2303" w:type="dxa"/>
          </w:tcPr>
          <w:p w:rsidR="00A71041" w:rsidRDefault="00A71041" w:rsidP="00A71041">
            <w:pPr>
              <w:jc w:val="center"/>
              <w:cnfStyle w:val="000000000000" w:firstRow="0" w:lastRow="0" w:firstColumn="0" w:lastColumn="0" w:oddVBand="0" w:evenVBand="0" w:oddHBand="0" w:evenHBand="0" w:firstRowFirstColumn="0" w:firstRowLastColumn="0" w:lastRowFirstColumn="0" w:lastRowLastColumn="0"/>
            </w:pPr>
            <w:r w:rsidRPr="006553E0">
              <w:rPr>
                <w:color w:val="767171" w:themeColor="background2" w:themeShade="80"/>
              </w:rPr>
              <w:t>Activo</w:t>
            </w:r>
          </w:p>
        </w:tc>
      </w:tr>
      <w:tr w:rsidR="00547E20" w:rsidRPr="000A5F49" w:rsidTr="002E00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shd w:val="clear" w:color="auto" w:fill="5B9BD5" w:themeFill="accent1"/>
          </w:tcPr>
          <w:p w:rsidR="00547E20" w:rsidRPr="002E0034" w:rsidRDefault="00547E20" w:rsidP="00547E20">
            <w:pPr>
              <w:rPr>
                <w:i/>
                <w:color w:val="FFFFFF" w:themeColor="background1"/>
              </w:rPr>
            </w:pPr>
            <w:r w:rsidRPr="002E0034">
              <w:rPr>
                <w:i/>
                <w:color w:val="FFFFFF" w:themeColor="background1"/>
              </w:rPr>
              <w:lastRenderedPageBreak/>
              <w:t>AREA</w:t>
            </w:r>
          </w:p>
        </w:tc>
        <w:tc>
          <w:tcPr>
            <w:tcW w:w="2303" w:type="dxa"/>
            <w:shd w:val="clear" w:color="auto" w:fill="5B9BD5" w:themeFill="accent1"/>
          </w:tcPr>
          <w:p w:rsidR="00547E20" w:rsidRPr="002E0034" w:rsidRDefault="00547E20" w:rsidP="00547E20">
            <w:pPr>
              <w:cnfStyle w:val="000000100000" w:firstRow="0" w:lastRow="0" w:firstColumn="0" w:lastColumn="0" w:oddVBand="0" w:evenVBand="0" w:oddHBand="1" w:evenHBand="0" w:firstRowFirstColumn="0" w:firstRowLastColumn="0" w:lastRowFirstColumn="0" w:lastRowLastColumn="0"/>
              <w:rPr>
                <w:b/>
                <w:i/>
                <w:color w:val="FFFFFF" w:themeColor="background1"/>
              </w:rPr>
            </w:pPr>
            <w:r w:rsidRPr="002E0034">
              <w:rPr>
                <w:b/>
                <w:i/>
                <w:color w:val="FFFFFF" w:themeColor="background1"/>
              </w:rPr>
              <w:t>USUARIO</w:t>
            </w:r>
          </w:p>
        </w:tc>
        <w:tc>
          <w:tcPr>
            <w:tcW w:w="2303" w:type="dxa"/>
            <w:shd w:val="clear" w:color="auto" w:fill="5B9BD5" w:themeFill="accent1"/>
          </w:tcPr>
          <w:p w:rsidR="00547E20" w:rsidRPr="002E0034" w:rsidRDefault="00547E20" w:rsidP="00547E20">
            <w:pPr>
              <w:cnfStyle w:val="000000100000" w:firstRow="0" w:lastRow="0" w:firstColumn="0" w:lastColumn="0" w:oddVBand="0" w:evenVBand="0" w:oddHBand="1" w:evenHBand="0" w:firstRowFirstColumn="0" w:firstRowLastColumn="0" w:lastRowFirstColumn="0" w:lastRowLastColumn="0"/>
              <w:rPr>
                <w:b/>
                <w:i/>
                <w:color w:val="FFFFFF" w:themeColor="background1"/>
              </w:rPr>
            </w:pPr>
            <w:r w:rsidRPr="002E0034">
              <w:rPr>
                <w:b/>
                <w:i/>
                <w:color w:val="FFFFFF" w:themeColor="background1"/>
              </w:rPr>
              <w:t>FECHA EXPIRACIÓN</w:t>
            </w:r>
          </w:p>
        </w:tc>
        <w:tc>
          <w:tcPr>
            <w:tcW w:w="2303" w:type="dxa"/>
            <w:shd w:val="clear" w:color="auto" w:fill="5B9BD5" w:themeFill="accent1"/>
          </w:tcPr>
          <w:p w:rsidR="00547E20" w:rsidRDefault="00547E20" w:rsidP="00547E20">
            <w:pPr>
              <w:cnfStyle w:val="000000100000" w:firstRow="0" w:lastRow="0" w:firstColumn="0" w:lastColumn="0" w:oddVBand="0" w:evenVBand="0" w:oddHBand="1" w:evenHBand="0" w:firstRowFirstColumn="0" w:firstRowLastColumn="0" w:lastRowFirstColumn="0" w:lastRowLastColumn="0"/>
              <w:rPr>
                <w:b/>
                <w:i/>
                <w:color w:val="FFFFFF" w:themeColor="background1"/>
              </w:rPr>
            </w:pPr>
            <w:r w:rsidRPr="002E0034">
              <w:rPr>
                <w:b/>
                <w:i/>
                <w:color w:val="FFFFFF" w:themeColor="background1"/>
              </w:rPr>
              <w:t>ACTIVO/INACTIVO</w:t>
            </w:r>
          </w:p>
          <w:p w:rsidR="002E0034" w:rsidRPr="002E0034" w:rsidRDefault="002E0034" w:rsidP="00547E20">
            <w:pPr>
              <w:cnfStyle w:val="000000100000" w:firstRow="0" w:lastRow="0" w:firstColumn="0" w:lastColumn="0" w:oddVBand="0" w:evenVBand="0" w:oddHBand="1" w:evenHBand="0" w:firstRowFirstColumn="0" w:firstRowLastColumn="0" w:lastRowFirstColumn="0" w:lastRowLastColumn="0"/>
              <w:rPr>
                <w:b/>
                <w:i/>
                <w:color w:val="FFFFFF" w:themeColor="background1"/>
              </w:rPr>
            </w:pPr>
          </w:p>
        </w:tc>
      </w:tr>
      <w:tr w:rsidR="00A71041" w:rsidRPr="000A5F49" w:rsidTr="006A7928">
        <w:tc>
          <w:tcPr>
            <w:cnfStyle w:val="001000000000" w:firstRow="0" w:lastRow="0" w:firstColumn="1" w:lastColumn="0" w:oddVBand="0" w:evenVBand="0" w:oddHBand="0" w:evenHBand="0" w:firstRowFirstColumn="0" w:firstRowLastColumn="0" w:lastRowFirstColumn="0" w:lastRowLastColumn="0"/>
            <w:tcW w:w="2303" w:type="dxa"/>
            <w:vMerge w:val="restart"/>
          </w:tcPr>
          <w:p w:rsidR="00A71041" w:rsidRDefault="00A71041" w:rsidP="000A5F49">
            <w:pPr>
              <w:pStyle w:val="Sinespaciado"/>
              <w:rPr>
                <w:color w:val="767171" w:themeColor="background2" w:themeShade="80"/>
              </w:rPr>
            </w:pPr>
          </w:p>
          <w:p w:rsidR="00A71041" w:rsidRDefault="00A71041" w:rsidP="000A5F49">
            <w:pPr>
              <w:pStyle w:val="Sinespaciado"/>
              <w:rPr>
                <w:color w:val="767171" w:themeColor="background2" w:themeShade="80"/>
              </w:rPr>
            </w:pPr>
          </w:p>
          <w:p w:rsidR="00A71041" w:rsidRPr="000A5F49" w:rsidRDefault="00A71041" w:rsidP="000A5F49">
            <w:pPr>
              <w:pStyle w:val="Sinespaciado"/>
              <w:rPr>
                <w:b w:val="0"/>
                <w:bCs w:val="0"/>
                <w:color w:val="767171" w:themeColor="background2" w:themeShade="80"/>
              </w:rPr>
            </w:pPr>
            <w:r>
              <w:rPr>
                <w:color w:val="767171" w:themeColor="background2" w:themeShade="80"/>
              </w:rPr>
              <w:t>Secretaria General</w:t>
            </w:r>
          </w:p>
          <w:p w:rsidR="00A71041" w:rsidRPr="000A5F49" w:rsidRDefault="00A71041" w:rsidP="000A5F49">
            <w:pPr>
              <w:pStyle w:val="Sinespaciado"/>
              <w:rPr>
                <w:color w:val="767171" w:themeColor="background2" w:themeShade="80"/>
              </w:rPr>
            </w:pPr>
          </w:p>
        </w:tc>
        <w:tc>
          <w:tcPr>
            <w:tcW w:w="2303" w:type="dxa"/>
          </w:tcPr>
          <w:p w:rsidR="00A71041" w:rsidRPr="000A5F49" w:rsidRDefault="00A71041" w:rsidP="000A5F49">
            <w:pPr>
              <w:pStyle w:val="Sinespaciado"/>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0A5F49">
              <w:rPr>
                <w:color w:val="767171" w:themeColor="background2" w:themeShade="80"/>
              </w:rPr>
              <w:t>Gonzalez Lozada Angela  Maria</w:t>
            </w:r>
          </w:p>
        </w:tc>
        <w:tc>
          <w:tcPr>
            <w:tcW w:w="2303" w:type="dxa"/>
          </w:tcPr>
          <w:p w:rsidR="00A71041" w:rsidRPr="000A5F49" w:rsidRDefault="00A71041" w:rsidP="000A5F49">
            <w:pPr>
              <w:pStyle w:val="Sinespaciado"/>
              <w:jc w:val="center"/>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0A5F49">
              <w:rPr>
                <w:color w:val="767171" w:themeColor="background2" w:themeShade="80"/>
              </w:rPr>
              <w:t>2020-01-10</w:t>
            </w:r>
          </w:p>
        </w:tc>
        <w:tc>
          <w:tcPr>
            <w:tcW w:w="2303" w:type="dxa"/>
          </w:tcPr>
          <w:p w:rsidR="00A71041" w:rsidRDefault="00A71041" w:rsidP="00A71041">
            <w:pPr>
              <w:jc w:val="center"/>
              <w:cnfStyle w:val="000000000000" w:firstRow="0" w:lastRow="0" w:firstColumn="0" w:lastColumn="0" w:oddVBand="0" w:evenVBand="0" w:oddHBand="0" w:evenHBand="0" w:firstRowFirstColumn="0" w:firstRowLastColumn="0" w:lastRowFirstColumn="0" w:lastRowLastColumn="0"/>
            </w:pPr>
            <w:r w:rsidRPr="006553E0">
              <w:rPr>
                <w:color w:val="767171" w:themeColor="background2" w:themeShade="80"/>
              </w:rPr>
              <w:t>Activo</w:t>
            </w:r>
          </w:p>
        </w:tc>
      </w:tr>
      <w:tr w:rsidR="00A71041" w:rsidRPr="000A5F49" w:rsidTr="006A7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vMerge/>
          </w:tcPr>
          <w:p w:rsidR="00A71041" w:rsidRPr="000A5F49" w:rsidRDefault="00A71041" w:rsidP="000A5F49">
            <w:pPr>
              <w:pStyle w:val="Sinespaciado"/>
              <w:rPr>
                <w:color w:val="767171" w:themeColor="background2" w:themeShade="80"/>
              </w:rPr>
            </w:pPr>
          </w:p>
        </w:tc>
        <w:tc>
          <w:tcPr>
            <w:tcW w:w="2303" w:type="dxa"/>
          </w:tcPr>
          <w:p w:rsidR="00A71041" w:rsidRPr="000A5F49" w:rsidRDefault="00A71041" w:rsidP="000A5F49">
            <w:pPr>
              <w:pStyle w:val="Sinespaciado"/>
              <w:cnfStyle w:val="000000100000" w:firstRow="0" w:lastRow="0" w:firstColumn="0" w:lastColumn="0" w:oddVBand="0" w:evenVBand="0" w:oddHBand="1" w:evenHBand="0" w:firstRowFirstColumn="0" w:firstRowLastColumn="0" w:lastRowFirstColumn="0" w:lastRowLastColumn="0"/>
              <w:rPr>
                <w:color w:val="767171" w:themeColor="background2" w:themeShade="80"/>
              </w:rPr>
            </w:pPr>
            <w:r w:rsidRPr="000A5F49">
              <w:rPr>
                <w:color w:val="767171" w:themeColor="background2" w:themeShade="80"/>
              </w:rPr>
              <w:t>Cardona Ramirez Natalia  Astrid</w:t>
            </w:r>
          </w:p>
        </w:tc>
        <w:tc>
          <w:tcPr>
            <w:tcW w:w="2303" w:type="dxa"/>
          </w:tcPr>
          <w:p w:rsidR="00A71041" w:rsidRPr="000A5F49" w:rsidRDefault="00A71041" w:rsidP="000A5F49">
            <w:pPr>
              <w:pStyle w:val="Sinespaciado"/>
              <w:jc w:val="center"/>
              <w:cnfStyle w:val="000000100000" w:firstRow="0" w:lastRow="0" w:firstColumn="0" w:lastColumn="0" w:oddVBand="0" w:evenVBand="0" w:oddHBand="1" w:evenHBand="0" w:firstRowFirstColumn="0" w:firstRowLastColumn="0" w:lastRowFirstColumn="0" w:lastRowLastColumn="0"/>
              <w:rPr>
                <w:color w:val="767171" w:themeColor="background2" w:themeShade="80"/>
              </w:rPr>
            </w:pPr>
            <w:r w:rsidRPr="000A5F49">
              <w:rPr>
                <w:color w:val="767171" w:themeColor="background2" w:themeShade="80"/>
              </w:rPr>
              <w:t>2020-08-30</w:t>
            </w:r>
          </w:p>
        </w:tc>
        <w:tc>
          <w:tcPr>
            <w:tcW w:w="2303" w:type="dxa"/>
          </w:tcPr>
          <w:p w:rsidR="00A71041" w:rsidRDefault="00A71041" w:rsidP="00A71041">
            <w:pPr>
              <w:jc w:val="center"/>
              <w:cnfStyle w:val="000000100000" w:firstRow="0" w:lastRow="0" w:firstColumn="0" w:lastColumn="0" w:oddVBand="0" w:evenVBand="0" w:oddHBand="1" w:evenHBand="0" w:firstRowFirstColumn="0" w:firstRowLastColumn="0" w:lastRowFirstColumn="0" w:lastRowLastColumn="0"/>
            </w:pPr>
            <w:r w:rsidRPr="006553E0">
              <w:rPr>
                <w:color w:val="767171" w:themeColor="background2" w:themeShade="80"/>
              </w:rPr>
              <w:t>Activo</w:t>
            </w:r>
          </w:p>
        </w:tc>
      </w:tr>
      <w:tr w:rsidR="00A71041" w:rsidRPr="000A5F49" w:rsidTr="006A7928">
        <w:tc>
          <w:tcPr>
            <w:cnfStyle w:val="001000000000" w:firstRow="0" w:lastRow="0" w:firstColumn="1" w:lastColumn="0" w:oddVBand="0" w:evenVBand="0" w:oddHBand="0" w:evenHBand="0" w:firstRowFirstColumn="0" w:firstRowLastColumn="0" w:lastRowFirstColumn="0" w:lastRowLastColumn="0"/>
            <w:tcW w:w="2303" w:type="dxa"/>
          </w:tcPr>
          <w:p w:rsidR="00A71041" w:rsidRPr="000A5F49" w:rsidRDefault="00A71041" w:rsidP="000A5F49">
            <w:pPr>
              <w:pStyle w:val="Sinespaciado"/>
              <w:rPr>
                <w:color w:val="767171" w:themeColor="background2" w:themeShade="80"/>
              </w:rPr>
            </w:pPr>
            <w:r w:rsidRPr="000A5F49">
              <w:rPr>
                <w:color w:val="767171" w:themeColor="background2" w:themeShade="80"/>
              </w:rPr>
              <w:t>Oficina de Control Interno</w:t>
            </w:r>
          </w:p>
        </w:tc>
        <w:tc>
          <w:tcPr>
            <w:tcW w:w="2303" w:type="dxa"/>
          </w:tcPr>
          <w:p w:rsidR="00A71041" w:rsidRPr="000A5F49" w:rsidRDefault="00A71041" w:rsidP="000A5F49">
            <w:pPr>
              <w:pStyle w:val="Sinespaciado"/>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0A5F49">
              <w:rPr>
                <w:color w:val="767171" w:themeColor="background2" w:themeShade="80"/>
              </w:rPr>
              <w:t>Gamboa Malagon Esneda</w:t>
            </w:r>
          </w:p>
        </w:tc>
        <w:tc>
          <w:tcPr>
            <w:tcW w:w="2303" w:type="dxa"/>
          </w:tcPr>
          <w:p w:rsidR="00A71041" w:rsidRPr="000A5F49" w:rsidRDefault="00A71041" w:rsidP="000A5F49">
            <w:pPr>
              <w:pStyle w:val="Sinespaciado"/>
              <w:jc w:val="center"/>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0A5F49">
              <w:rPr>
                <w:color w:val="767171" w:themeColor="background2" w:themeShade="80"/>
              </w:rPr>
              <w:t>2020-09-01</w:t>
            </w:r>
          </w:p>
        </w:tc>
        <w:tc>
          <w:tcPr>
            <w:tcW w:w="2303" w:type="dxa"/>
          </w:tcPr>
          <w:p w:rsidR="00A71041" w:rsidRDefault="00A71041" w:rsidP="00A71041">
            <w:pPr>
              <w:jc w:val="center"/>
              <w:cnfStyle w:val="000000000000" w:firstRow="0" w:lastRow="0" w:firstColumn="0" w:lastColumn="0" w:oddVBand="0" w:evenVBand="0" w:oddHBand="0" w:evenHBand="0" w:firstRowFirstColumn="0" w:firstRowLastColumn="0" w:lastRowFirstColumn="0" w:lastRowLastColumn="0"/>
            </w:pPr>
            <w:r w:rsidRPr="006553E0">
              <w:rPr>
                <w:color w:val="767171" w:themeColor="background2" w:themeShade="80"/>
              </w:rPr>
              <w:t>Activo</w:t>
            </w:r>
          </w:p>
        </w:tc>
      </w:tr>
      <w:tr w:rsidR="00A71041" w:rsidRPr="000A5F49" w:rsidTr="006A7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vMerge w:val="restart"/>
          </w:tcPr>
          <w:p w:rsidR="00A71041" w:rsidRDefault="00A71041" w:rsidP="000A5F49">
            <w:pPr>
              <w:pStyle w:val="Sinespaciado"/>
              <w:rPr>
                <w:color w:val="767171" w:themeColor="background2" w:themeShade="80"/>
              </w:rPr>
            </w:pPr>
          </w:p>
          <w:p w:rsidR="00A71041" w:rsidRPr="000A5F49" w:rsidRDefault="00A71041" w:rsidP="000A5F49">
            <w:pPr>
              <w:pStyle w:val="Sinespaciado"/>
              <w:rPr>
                <w:color w:val="767171" w:themeColor="background2" w:themeShade="80"/>
              </w:rPr>
            </w:pPr>
            <w:r w:rsidRPr="000A5F49">
              <w:rPr>
                <w:color w:val="767171" w:themeColor="background2" w:themeShade="80"/>
              </w:rPr>
              <w:t>Gestión Humana</w:t>
            </w:r>
          </w:p>
        </w:tc>
        <w:tc>
          <w:tcPr>
            <w:tcW w:w="2303" w:type="dxa"/>
          </w:tcPr>
          <w:p w:rsidR="00A71041" w:rsidRPr="000A5F49" w:rsidRDefault="00A71041" w:rsidP="000A5F49">
            <w:pPr>
              <w:pStyle w:val="Sinespaciado"/>
              <w:cnfStyle w:val="000000100000" w:firstRow="0" w:lastRow="0" w:firstColumn="0" w:lastColumn="0" w:oddVBand="0" w:evenVBand="0" w:oddHBand="1" w:evenHBand="0" w:firstRowFirstColumn="0" w:firstRowLastColumn="0" w:lastRowFirstColumn="0" w:lastRowLastColumn="0"/>
              <w:rPr>
                <w:color w:val="767171" w:themeColor="background2" w:themeShade="80"/>
              </w:rPr>
            </w:pPr>
            <w:r w:rsidRPr="000A5F49">
              <w:rPr>
                <w:color w:val="767171" w:themeColor="background2" w:themeShade="80"/>
              </w:rPr>
              <w:t>Gomez Anzola diana Marcela</w:t>
            </w:r>
          </w:p>
        </w:tc>
        <w:tc>
          <w:tcPr>
            <w:tcW w:w="2303" w:type="dxa"/>
          </w:tcPr>
          <w:p w:rsidR="00A71041" w:rsidRPr="000A5F49" w:rsidRDefault="00A71041" w:rsidP="000A5F49">
            <w:pPr>
              <w:pStyle w:val="Sinespaciado"/>
              <w:jc w:val="center"/>
              <w:cnfStyle w:val="000000100000" w:firstRow="0" w:lastRow="0" w:firstColumn="0" w:lastColumn="0" w:oddVBand="0" w:evenVBand="0" w:oddHBand="1" w:evenHBand="0" w:firstRowFirstColumn="0" w:firstRowLastColumn="0" w:lastRowFirstColumn="0" w:lastRowLastColumn="0"/>
              <w:rPr>
                <w:color w:val="767171" w:themeColor="background2" w:themeShade="80"/>
              </w:rPr>
            </w:pPr>
            <w:r w:rsidRPr="000A5F49">
              <w:rPr>
                <w:color w:val="767171" w:themeColor="background2" w:themeShade="80"/>
              </w:rPr>
              <w:t>2020-05-20</w:t>
            </w:r>
          </w:p>
        </w:tc>
        <w:tc>
          <w:tcPr>
            <w:tcW w:w="2303" w:type="dxa"/>
          </w:tcPr>
          <w:p w:rsidR="00A71041" w:rsidRDefault="00A71041" w:rsidP="00A71041">
            <w:pPr>
              <w:jc w:val="center"/>
              <w:cnfStyle w:val="000000100000" w:firstRow="0" w:lastRow="0" w:firstColumn="0" w:lastColumn="0" w:oddVBand="0" w:evenVBand="0" w:oddHBand="1" w:evenHBand="0" w:firstRowFirstColumn="0" w:firstRowLastColumn="0" w:lastRowFirstColumn="0" w:lastRowLastColumn="0"/>
            </w:pPr>
            <w:r w:rsidRPr="006553E0">
              <w:rPr>
                <w:color w:val="767171" w:themeColor="background2" w:themeShade="80"/>
              </w:rPr>
              <w:t>Activo</w:t>
            </w:r>
          </w:p>
        </w:tc>
      </w:tr>
      <w:tr w:rsidR="00A71041" w:rsidRPr="000A5F49" w:rsidTr="008A30B1">
        <w:trPr>
          <w:trHeight w:val="483"/>
        </w:trPr>
        <w:tc>
          <w:tcPr>
            <w:cnfStyle w:val="001000000000" w:firstRow="0" w:lastRow="0" w:firstColumn="1" w:lastColumn="0" w:oddVBand="0" w:evenVBand="0" w:oddHBand="0" w:evenHBand="0" w:firstRowFirstColumn="0" w:firstRowLastColumn="0" w:lastRowFirstColumn="0" w:lastRowLastColumn="0"/>
            <w:tcW w:w="2303" w:type="dxa"/>
            <w:vMerge/>
          </w:tcPr>
          <w:p w:rsidR="00A71041" w:rsidRPr="000A5F49" w:rsidRDefault="00A71041" w:rsidP="000A5F49">
            <w:pPr>
              <w:pStyle w:val="Sinespaciado"/>
              <w:rPr>
                <w:color w:val="767171" w:themeColor="background2" w:themeShade="80"/>
              </w:rPr>
            </w:pPr>
          </w:p>
        </w:tc>
        <w:tc>
          <w:tcPr>
            <w:tcW w:w="2303" w:type="dxa"/>
          </w:tcPr>
          <w:p w:rsidR="00A71041" w:rsidRPr="000A5F49" w:rsidRDefault="00A71041" w:rsidP="000A5F49">
            <w:pPr>
              <w:pStyle w:val="Sinespaciado"/>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0A5F49">
              <w:rPr>
                <w:color w:val="767171" w:themeColor="background2" w:themeShade="80"/>
              </w:rPr>
              <w:t>Medina Serrano Alix</w:t>
            </w:r>
          </w:p>
        </w:tc>
        <w:tc>
          <w:tcPr>
            <w:tcW w:w="2303" w:type="dxa"/>
          </w:tcPr>
          <w:p w:rsidR="00A71041" w:rsidRPr="000A5F49" w:rsidRDefault="00A71041" w:rsidP="000A5F49">
            <w:pPr>
              <w:pStyle w:val="Sinespaciado"/>
              <w:jc w:val="center"/>
              <w:cnfStyle w:val="000000000000" w:firstRow="0" w:lastRow="0" w:firstColumn="0" w:lastColumn="0" w:oddVBand="0" w:evenVBand="0" w:oddHBand="0" w:evenHBand="0" w:firstRowFirstColumn="0" w:firstRowLastColumn="0" w:lastRowFirstColumn="0" w:lastRowLastColumn="0"/>
              <w:rPr>
                <w:color w:val="767171" w:themeColor="background2" w:themeShade="80"/>
              </w:rPr>
            </w:pPr>
            <w:r w:rsidRPr="000A5F49">
              <w:rPr>
                <w:color w:val="767171" w:themeColor="background2" w:themeShade="80"/>
              </w:rPr>
              <w:t>2020-09-23</w:t>
            </w:r>
          </w:p>
        </w:tc>
        <w:tc>
          <w:tcPr>
            <w:tcW w:w="2303" w:type="dxa"/>
          </w:tcPr>
          <w:p w:rsidR="00A71041" w:rsidRDefault="00A71041" w:rsidP="00A71041">
            <w:pPr>
              <w:jc w:val="center"/>
              <w:cnfStyle w:val="000000000000" w:firstRow="0" w:lastRow="0" w:firstColumn="0" w:lastColumn="0" w:oddVBand="0" w:evenVBand="0" w:oddHBand="0" w:evenHBand="0" w:firstRowFirstColumn="0" w:firstRowLastColumn="0" w:lastRowFirstColumn="0" w:lastRowLastColumn="0"/>
            </w:pPr>
            <w:r w:rsidRPr="006553E0">
              <w:rPr>
                <w:color w:val="767171" w:themeColor="background2" w:themeShade="80"/>
              </w:rPr>
              <w:t>Activo</w:t>
            </w:r>
          </w:p>
        </w:tc>
      </w:tr>
      <w:tr w:rsidR="00A71041" w:rsidRPr="000A5F49" w:rsidTr="006A79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03" w:type="dxa"/>
          </w:tcPr>
          <w:p w:rsidR="00A71041" w:rsidRPr="000A5F49" w:rsidRDefault="00A71041" w:rsidP="000A5F49">
            <w:pPr>
              <w:pStyle w:val="Sinespaciado"/>
              <w:rPr>
                <w:color w:val="767171" w:themeColor="background2" w:themeShade="80"/>
              </w:rPr>
            </w:pPr>
            <w:r w:rsidRPr="000A5F49">
              <w:rPr>
                <w:color w:val="767171" w:themeColor="background2" w:themeShade="80"/>
              </w:rPr>
              <w:t>Oficina Asesora de Planeación</w:t>
            </w:r>
          </w:p>
        </w:tc>
        <w:tc>
          <w:tcPr>
            <w:tcW w:w="2303" w:type="dxa"/>
          </w:tcPr>
          <w:p w:rsidR="00A71041" w:rsidRPr="000A5F49" w:rsidRDefault="00A71041" w:rsidP="000A5F49">
            <w:pPr>
              <w:pStyle w:val="Sinespaciado"/>
              <w:cnfStyle w:val="000000100000" w:firstRow="0" w:lastRow="0" w:firstColumn="0" w:lastColumn="0" w:oddVBand="0" w:evenVBand="0" w:oddHBand="1" w:evenHBand="0" w:firstRowFirstColumn="0" w:firstRowLastColumn="0" w:lastRowFirstColumn="0" w:lastRowLastColumn="0"/>
              <w:rPr>
                <w:color w:val="767171" w:themeColor="background2" w:themeShade="80"/>
              </w:rPr>
            </w:pPr>
            <w:r w:rsidRPr="000A5F49">
              <w:rPr>
                <w:color w:val="767171" w:themeColor="background2" w:themeShade="80"/>
              </w:rPr>
              <w:t>Guzman Rodriguez Carlos Andres</w:t>
            </w:r>
          </w:p>
        </w:tc>
        <w:tc>
          <w:tcPr>
            <w:tcW w:w="2303" w:type="dxa"/>
          </w:tcPr>
          <w:p w:rsidR="00A71041" w:rsidRDefault="00A71041" w:rsidP="000A5F49">
            <w:pPr>
              <w:pStyle w:val="Sinespaciado"/>
              <w:jc w:val="center"/>
              <w:cnfStyle w:val="000000100000" w:firstRow="0" w:lastRow="0" w:firstColumn="0" w:lastColumn="0" w:oddVBand="0" w:evenVBand="0" w:oddHBand="1" w:evenHBand="0" w:firstRowFirstColumn="0" w:firstRowLastColumn="0" w:lastRowFirstColumn="0" w:lastRowLastColumn="0"/>
              <w:rPr>
                <w:color w:val="767171" w:themeColor="background2" w:themeShade="80"/>
              </w:rPr>
            </w:pPr>
          </w:p>
          <w:p w:rsidR="00A71041" w:rsidRPr="000A5F49" w:rsidRDefault="00A71041" w:rsidP="000A5F49">
            <w:pPr>
              <w:pStyle w:val="Sinespaciado"/>
              <w:jc w:val="center"/>
              <w:cnfStyle w:val="000000100000" w:firstRow="0" w:lastRow="0" w:firstColumn="0" w:lastColumn="0" w:oddVBand="0" w:evenVBand="0" w:oddHBand="1" w:evenHBand="0" w:firstRowFirstColumn="0" w:firstRowLastColumn="0" w:lastRowFirstColumn="0" w:lastRowLastColumn="0"/>
              <w:rPr>
                <w:color w:val="767171" w:themeColor="background2" w:themeShade="80"/>
              </w:rPr>
            </w:pPr>
            <w:r w:rsidRPr="000A5F49">
              <w:rPr>
                <w:color w:val="767171" w:themeColor="background2" w:themeShade="80"/>
              </w:rPr>
              <w:t>2020-03-28</w:t>
            </w:r>
          </w:p>
        </w:tc>
        <w:tc>
          <w:tcPr>
            <w:tcW w:w="2303" w:type="dxa"/>
          </w:tcPr>
          <w:p w:rsidR="00A71041" w:rsidRDefault="00A71041" w:rsidP="00A71041">
            <w:pPr>
              <w:jc w:val="center"/>
              <w:cnfStyle w:val="000000100000" w:firstRow="0" w:lastRow="0" w:firstColumn="0" w:lastColumn="0" w:oddVBand="0" w:evenVBand="0" w:oddHBand="1" w:evenHBand="0" w:firstRowFirstColumn="0" w:firstRowLastColumn="0" w:lastRowFirstColumn="0" w:lastRowLastColumn="0"/>
              <w:rPr>
                <w:color w:val="767171" w:themeColor="background2" w:themeShade="80"/>
              </w:rPr>
            </w:pPr>
          </w:p>
          <w:p w:rsidR="00A71041" w:rsidRDefault="00A71041" w:rsidP="00A71041">
            <w:pPr>
              <w:jc w:val="center"/>
              <w:cnfStyle w:val="000000100000" w:firstRow="0" w:lastRow="0" w:firstColumn="0" w:lastColumn="0" w:oddVBand="0" w:evenVBand="0" w:oddHBand="1" w:evenHBand="0" w:firstRowFirstColumn="0" w:firstRowLastColumn="0" w:lastRowFirstColumn="0" w:lastRowLastColumn="0"/>
            </w:pPr>
            <w:r w:rsidRPr="006553E0">
              <w:rPr>
                <w:color w:val="767171" w:themeColor="background2" w:themeShade="80"/>
              </w:rPr>
              <w:t>Activo</w:t>
            </w:r>
          </w:p>
        </w:tc>
      </w:tr>
    </w:tbl>
    <w:p w:rsidR="00D67E21" w:rsidRDefault="00A71041" w:rsidP="004F6A9F">
      <w:pPr>
        <w:autoSpaceDE w:val="0"/>
        <w:autoSpaceDN w:val="0"/>
        <w:adjustRightInd w:val="0"/>
        <w:spacing w:before="240" w:after="200" w:line="276" w:lineRule="auto"/>
        <w:jc w:val="both"/>
        <w:rPr>
          <w:rFonts w:ascii="Arial" w:hAnsi="Arial" w:cs="Arial"/>
          <w:color w:val="404040"/>
        </w:rPr>
      </w:pPr>
      <w:r>
        <w:rPr>
          <w:rFonts w:ascii="Arial" w:hAnsi="Arial" w:cs="Arial"/>
          <w:color w:val="404040"/>
        </w:rPr>
        <w:t>Teniendo en cuenta el cuadro anterior se observan 15 perfiles de</w:t>
      </w:r>
      <w:r w:rsidRPr="00A71041">
        <w:rPr>
          <w:rFonts w:ascii="Arial" w:hAnsi="Arial" w:cs="Arial"/>
          <w:color w:val="404040"/>
        </w:rPr>
        <w:t xml:space="preserve"> usuarios SIIF activos, cada uno de estos tiene asignados perfiles de acuerdo a la labor que realiza en la Entidad, para lo cual se tiene restricciones automáticas acordes a cada perfil.</w:t>
      </w:r>
    </w:p>
    <w:p w:rsidR="004F6A9F" w:rsidRPr="007F6633" w:rsidRDefault="007F6633" w:rsidP="007F6633">
      <w:pPr>
        <w:pStyle w:val="Prrafodelista"/>
        <w:numPr>
          <w:ilvl w:val="0"/>
          <w:numId w:val="28"/>
        </w:numPr>
        <w:autoSpaceDE w:val="0"/>
        <w:autoSpaceDN w:val="0"/>
        <w:adjustRightInd w:val="0"/>
        <w:spacing w:before="240" w:after="200" w:line="276" w:lineRule="auto"/>
        <w:jc w:val="both"/>
        <w:rPr>
          <w:rFonts w:ascii="Arial" w:hAnsi="Arial" w:cs="Arial"/>
          <w:color w:val="404040"/>
        </w:rPr>
      </w:pPr>
      <w:r w:rsidRPr="007F6633">
        <w:rPr>
          <w:rFonts w:ascii="Arial" w:hAnsi="Arial" w:cs="Arial"/>
          <w:color w:val="404040"/>
        </w:rPr>
        <w:t>Replicar oportunamente a los usuarios del SIIF Nación, todas las comunicaciones emitidas e informadas por el Administrador del Sistema:</w:t>
      </w:r>
    </w:p>
    <w:p w:rsidR="007F6633" w:rsidRPr="00676C07" w:rsidRDefault="007F6633" w:rsidP="004F6A9F">
      <w:pPr>
        <w:autoSpaceDE w:val="0"/>
        <w:autoSpaceDN w:val="0"/>
        <w:adjustRightInd w:val="0"/>
        <w:spacing w:before="240" w:after="200" w:line="276" w:lineRule="auto"/>
        <w:jc w:val="both"/>
        <w:rPr>
          <w:rFonts w:ascii="Arial" w:hAnsi="Arial" w:cs="Arial"/>
          <w:color w:val="404040"/>
        </w:rPr>
      </w:pPr>
      <w:r>
        <w:rPr>
          <w:rFonts w:ascii="Arial" w:hAnsi="Arial" w:cs="Arial"/>
          <w:color w:val="404040"/>
        </w:rPr>
        <w:t>Se</w:t>
      </w:r>
      <w:r w:rsidRPr="007F6633">
        <w:rPr>
          <w:rFonts w:ascii="Arial" w:hAnsi="Arial" w:cs="Arial"/>
          <w:color w:val="404040"/>
        </w:rPr>
        <w:t xml:space="preserve"> pudo evidenciar que la delegada del coordinador SIIF </w:t>
      </w:r>
      <w:r>
        <w:rPr>
          <w:rFonts w:ascii="Arial" w:hAnsi="Arial" w:cs="Arial"/>
          <w:color w:val="404040"/>
        </w:rPr>
        <w:t>Entidad</w:t>
      </w:r>
      <w:r w:rsidR="00F76D18">
        <w:rPr>
          <w:rFonts w:ascii="Arial" w:hAnsi="Arial" w:cs="Arial"/>
          <w:color w:val="404040"/>
        </w:rPr>
        <w:t>,</w:t>
      </w:r>
      <w:r>
        <w:rPr>
          <w:rFonts w:ascii="Arial" w:hAnsi="Arial" w:cs="Arial"/>
          <w:color w:val="404040"/>
        </w:rPr>
        <w:t xml:space="preserve"> replica al interior de Función Pública</w:t>
      </w:r>
      <w:r w:rsidRPr="007F6633">
        <w:rPr>
          <w:rFonts w:ascii="Arial" w:hAnsi="Arial" w:cs="Arial"/>
          <w:color w:val="404040"/>
        </w:rPr>
        <w:t xml:space="preserve"> mediante correos electrónicos todas las comunicaciones </w:t>
      </w:r>
      <w:r w:rsidRPr="00676C07">
        <w:rPr>
          <w:rFonts w:ascii="Arial" w:hAnsi="Arial" w:cs="Arial"/>
          <w:color w:val="404040"/>
        </w:rPr>
        <w:t>e invitaciones de capacitación recibida del Administrador del Sistema.</w:t>
      </w:r>
    </w:p>
    <w:p w:rsidR="004F6A9F" w:rsidRPr="007F6633" w:rsidRDefault="007F6633" w:rsidP="007F6633">
      <w:pPr>
        <w:autoSpaceDE w:val="0"/>
        <w:autoSpaceDN w:val="0"/>
        <w:adjustRightInd w:val="0"/>
        <w:spacing w:before="240" w:after="200" w:line="276" w:lineRule="auto"/>
        <w:jc w:val="both"/>
        <w:rPr>
          <w:rFonts w:ascii="Arial" w:hAnsi="Arial" w:cs="Arial"/>
          <w:color w:val="404040"/>
        </w:rPr>
      </w:pPr>
      <w:r w:rsidRPr="007F6633">
        <w:rPr>
          <w:rFonts w:ascii="Arial" w:hAnsi="Arial" w:cs="Arial"/>
          <w:color w:val="404040"/>
        </w:rPr>
        <w:t>Mantener actualizado al administrador del sistema respecto a las novedades de los usuarios y del funcionario responsable del Sistema:</w:t>
      </w:r>
    </w:p>
    <w:p w:rsidR="007F6633" w:rsidRDefault="007F6633" w:rsidP="007F6633">
      <w:pPr>
        <w:autoSpaceDE w:val="0"/>
        <w:autoSpaceDN w:val="0"/>
        <w:adjustRightInd w:val="0"/>
        <w:spacing w:before="240" w:after="200" w:line="276" w:lineRule="auto"/>
        <w:jc w:val="both"/>
        <w:rPr>
          <w:rFonts w:ascii="Arial" w:hAnsi="Arial" w:cs="Arial"/>
          <w:color w:val="404040"/>
        </w:rPr>
      </w:pPr>
      <w:r w:rsidRPr="007F6633">
        <w:rPr>
          <w:rFonts w:ascii="Arial" w:hAnsi="Arial" w:cs="Arial"/>
          <w:color w:val="404040"/>
        </w:rPr>
        <w:t>Respecto a las novedades de los Usuarios se pudo evidenciar que estas son reportadas al Administrador SIIF Nación, con el lleno de los formatos que existen ya sea para inclusión o modificación de usuarios.</w:t>
      </w:r>
    </w:p>
    <w:p w:rsidR="004F6A9F" w:rsidRPr="007F6633" w:rsidRDefault="007F6633" w:rsidP="007F6633">
      <w:pPr>
        <w:pStyle w:val="Prrafodelista"/>
        <w:numPr>
          <w:ilvl w:val="0"/>
          <w:numId w:val="28"/>
        </w:numPr>
        <w:autoSpaceDE w:val="0"/>
        <w:autoSpaceDN w:val="0"/>
        <w:adjustRightInd w:val="0"/>
        <w:spacing w:before="240" w:after="200" w:line="276" w:lineRule="auto"/>
        <w:jc w:val="both"/>
        <w:rPr>
          <w:rFonts w:ascii="Arial" w:hAnsi="Arial" w:cs="Arial"/>
          <w:color w:val="404040"/>
        </w:rPr>
      </w:pPr>
      <w:r w:rsidRPr="007F6633">
        <w:rPr>
          <w:rFonts w:ascii="Arial" w:hAnsi="Arial" w:cs="Arial"/>
          <w:color w:val="404040"/>
        </w:rPr>
        <w:t>Capacitar a los usuarios nuevos previos a la creación en el aplicativo:</w:t>
      </w:r>
    </w:p>
    <w:p w:rsidR="00676C07" w:rsidRDefault="007F6633" w:rsidP="00676C07">
      <w:pPr>
        <w:autoSpaceDE w:val="0"/>
        <w:autoSpaceDN w:val="0"/>
        <w:adjustRightInd w:val="0"/>
        <w:spacing w:before="240" w:after="200" w:line="276" w:lineRule="auto"/>
        <w:jc w:val="both"/>
        <w:rPr>
          <w:rFonts w:ascii="Arial" w:hAnsi="Arial" w:cs="Arial"/>
          <w:color w:val="404040"/>
        </w:rPr>
      </w:pPr>
      <w:r>
        <w:rPr>
          <w:rFonts w:ascii="Arial" w:hAnsi="Arial" w:cs="Arial"/>
          <w:color w:val="404040"/>
        </w:rPr>
        <w:t xml:space="preserve">En </w:t>
      </w:r>
      <w:r w:rsidRPr="007F6633">
        <w:rPr>
          <w:rFonts w:ascii="Arial" w:hAnsi="Arial" w:cs="Arial"/>
          <w:color w:val="404040"/>
        </w:rPr>
        <w:t>entrevista con la delegada del Coordinador SIIF Entidad</w:t>
      </w:r>
      <w:r w:rsidR="00F76D18">
        <w:rPr>
          <w:rFonts w:ascii="Arial" w:hAnsi="Arial" w:cs="Arial"/>
          <w:color w:val="404040"/>
        </w:rPr>
        <w:t>,</w:t>
      </w:r>
      <w:r w:rsidRPr="007F6633">
        <w:rPr>
          <w:rFonts w:ascii="Arial" w:hAnsi="Arial" w:cs="Arial"/>
          <w:color w:val="404040"/>
        </w:rPr>
        <w:t xml:space="preserve"> manifestaba que a los nuevos usuarios del Sistema se les brinda la capacitación y orientación básica del sistema al in</w:t>
      </w:r>
      <w:r>
        <w:rPr>
          <w:rFonts w:ascii="Arial" w:hAnsi="Arial" w:cs="Arial"/>
          <w:color w:val="404040"/>
        </w:rPr>
        <w:t xml:space="preserve">terior de cada grupo de trabajo. </w:t>
      </w:r>
    </w:p>
    <w:p w:rsidR="00004A4B" w:rsidRDefault="00004A4B" w:rsidP="00676C07">
      <w:pPr>
        <w:autoSpaceDE w:val="0"/>
        <w:autoSpaceDN w:val="0"/>
        <w:adjustRightInd w:val="0"/>
        <w:spacing w:before="240" w:after="200" w:line="276" w:lineRule="auto"/>
        <w:jc w:val="both"/>
        <w:rPr>
          <w:rFonts w:ascii="Arial" w:hAnsi="Arial" w:cs="Arial"/>
          <w:color w:val="404040"/>
        </w:rPr>
      </w:pPr>
      <w:r w:rsidRPr="00544B96">
        <w:rPr>
          <w:rFonts w:ascii="Arial" w:hAnsi="Arial" w:cs="Arial"/>
          <w:color w:val="404040"/>
        </w:rPr>
        <w:t xml:space="preserve">Los servidores del área Financiera y algunos de las </w:t>
      </w:r>
      <w:r w:rsidR="00A56C25">
        <w:rPr>
          <w:rFonts w:ascii="Arial" w:hAnsi="Arial" w:cs="Arial"/>
          <w:color w:val="404040"/>
        </w:rPr>
        <w:t xml:space="preserve">Oficinas </w:t>
      </w:r>
      <w:r w:rsidRPr="00544B96">
        <w:rPr>
          <w:rFonts w:ascii="Arial" w:hAnsi="Arial" w:cs="Arial"/>
          <w:color w:val="404040"/>
        </w:rPr>
        <w:t>de Planeación, Control Interno</w:t>
      </w:r>
      <w:r w:rsidR="00E46B39" w:rsidRPr="00544B96">
        <w:rPr>
          <w:rFonts w:ascii="Arial" w:hAnsi="Arial" w:cs="Arial"/>
          <w:color w:val="404040"/>
        </w:rPr>
        <w:t>, Gestión Humana</w:t>
      </w:r>
      <w:r w:rsidRPr="00544B96">
        <w:rPr>
          <w:rFonts w:ascii="Arial" w:hAnsi="Arial" w:cs="Arial"/>
          <w:color w:val="404040"/>
        </w:rPr>
        <w:t xml:space="preserve"> y Gestión Administrativa</w:t>
      </w:r>
      <w:r w:rsidR="00A56C25">
        <w:rPr>
          <w:rFonts w:ascii="Arial" w:hAnsi="Arial" w:cs="Arial"/>
          <w:color w:val="404040"/>
        </w:rPr>
        <w:t>,</w:t>
      </w:r>
      <w:r w:rsidRPr="00544B96">
        <w:rPr>
          <w:rFonts w:ascii="Arial" w:hAnsi="Arial" w:cs="Arial"/>
          <w:color w:val="404040"/>
        </w:rPr>
        <w:t xml:space="preserve"> poseen certificado digital para firmar las funcionalidades que cada uno requiere, el cual fue adquirido mediante contrato</w:t>
      </w:r>
      <w:r w:rsidR="00F573C5">
        <w:rPr>
          <w:rFonts w:ascii="Arial" w:hAnsi="Arial" w:cs="Arial"/>
          <w:color w:val="404040"/>
        </w:rPr>
        <w:t>s</w:t>
      </w:r>
      <w:r w:rsidR="00E740FE">
        <w:rPr>
          <w:rFonts w:ascii="Arial" w:hAnsi="Arial" w:cs="Arial"/>
          <w:color w:val="404040"/>
        </w:rPr>
        <w:t xml:space="preserve"> </w:t>
      </w:r>
      <w:r w:rsidR="00A56C25">
        <w:rPr>
          <w:rFonts w:ascii="Arial" w:hAnsi="Arial" w:cs="Arial"/>
          <w:color w:val="404040"/>
        </w:rPr>
        <w:t xml:space="preserve">Nos. </w:t>
      </w:r>
      <w:r w:rsidR="00E740FE">
        <w:rPr>
          <w:rFonts w:ascii="Arial" w:hAnsi="Arial" w:cs="Arial"/>
          <w:color w:val="404040"/>
        </w:rPr>
        <w:t xml:space="preserve">261 </w:t>
      </w:r>
      <w:r w:rsidRPr="00544B96">
        <w:rPr>
          <w:rFonts w:ascii="Arial" w:hAnsi="Arial" w:cs="Arial"/>
          <w:color w:val="404040"/>
        </w:rPr>
        <w:t xml:space="preserve">de </w:t>
      </w:r>
      <w:r w:rsidR="00F573C5" w:rsidRPr="00F573C5">
        <w:rPr>
          <w:rFonts w:ascii="Arial" w:hAnsi="Arial" w:cs="Arial"/>
          <w:color w:val="404040"/>
        </w:rPr>
        <w:t>2018</w:t>
      </w:r>
      <w:r w:rsidRPr="00F573C5">
        <w:rPr>
          <w:rFonts w:ascii="Arial" w:hAnsi="Arial" w:cs="Arial"/>
          <w:color w:val="404040"/>
        </w:rPr>
        <w:t xml:space="preserve"> con la firma </w:t>
      </w:r>
      <w:r w:rsidR="00F573C5">
        <w:rPr>
          <w:rFonts w:ascii="Arial" w:hAnsi="Arial" w:cs="Arial"/>
          <w:color w:val="404040"/>
        </w:rPr>
        <w:t xml:space="preserve">Sociedad Cameral de Certificación Digital - </w:t>
      </w:r>
      <w:r w:rsidRPr="00F573C5">
        <w:rPr>
          <w:rFonts w:ascii="Arial" w:hAnsi="Arial" w:cs="Arial"/>
          <w:color w:val="404040"/>
        </w:rPr>
        <w:t>Certicamaras S.A.</w:t>
      </w:r>
      <w:r w:rsidRPr="00F67175">
        <w:rPr>
          <w:rFonts w:ascii="Arial" w:hAnsi="Arial" w:cs="Arial"/>
          <w:color w:val="404040"/>
        </w:rPr>
        <w:t xml:space="preserve"> </w:t>
      </w:r>
      <w:r w:rsidR="00F573C5" w:rsidRPr="00F67175">
        <w:rPr>
          <w:rFonts w:ascii="Arial" w:hAnsi="Arial" w:cs="Arial"/>
          <w:color w:val="404040"/>
        </w:rPr>
        <w:t xml:space="preserve">y 196 de 2019 con la firma Gestión de Seguridad Electrónica - GSE S.A. Así mismo, </w:t>
      </w:r>
      <w:r w:rsidRPr="00F67175">
        <w:rPr>
          <w:rFonts w:ascii="Arial" w:hAnsi="Arial" w:cs="Arial"/>
          <w:color w:val="404040"/>
        </w:rPr>
        <w:t>se evidenció la declaración de prácticas de certificación expedida por dicha Entidad.</w:t>
      </w:r>
    </w:p>
    <w:p w:rsidR="00BF1F3A" w:rsidRPr="00F67175" w:rsidRDefault="00BF1F3A" w:rsidP="00676C07">
      <w:pPr>
        <w:autoSpaceDE w:val="0"/>
        <w:autoSpaceDN w:val="0"/>
        <w:adjustRightInd w:val="0"/>
        <w:spacing w:before="240" w:after="200" w:line="276" w:lineRule="auto"/>
        <w:jc w:val="both"/>
        <w:rPr>
          <w:rFonts w:ascii="Arial" w:hAnsi="Arial" w:cs="Arial"/>
          <w:color w:val="404040"/>
        </w:rPr>
      </w:pPr>
    </w:p>
    <w:p w:rsidR="00004A4B" w:rsidRPr="00164870" w:rsidRDefault="00004A4B" w:rsidP="00164870">
      <w:pPr>
        <w:pStyle w:val="Prrafodelista"/>
        <w:numPr>
          <w:ilvl w:val="0"/>
          <w:numId w:val="28"/>
        </w:numPr>
        <w:autoSpaceDE w:val="0"/>
        <w:autoSpaceDN w:val="0"/>
        <w:adjustRightInd w:val="0"/>
        <w:spacing w:before="240" w:after="200" w:line="276" w:lineRule="auto"/>
        <w:jc w:val="both"/>
        <w:rPr>
          <w:rFonts w:ascii="Arial" w:hAnsi="Arial" w:cs="Arial"/>
          <w:color w:val="404040"/>
        </w:rPr>
      </w:pPr>
      <w:r w:rsidRPr="00164870">
        <w:rPr>
          <w:rFonts w:ascii="Arial" w:hAnsi="Arial" w:cs="Arial"/>
          <w:color w:val="404040"/>
        </w:rPr>
        <w:t>Frente a las medidas de seguridad para el pago a beneficiario final, se registran cuentas bancarias cuando se ha validado documentalmente su existencia (Rut y certificación bancaria). Igualmente se designó un funcionario con perfil Beneficiario Cuenta, quien la autoriza para que surta el proceso de validación.</w:t>
      </w:r>
    </w:p>
    <w:p w:rsidR="00004A4B" w:rsidRDefault="00004A4B" w:rsidP="00164870">
      <w:pPr>
        <w:numPr>
          <w:ilvl w:val="0"/>
          <w:numId w:val="28"/>
        </w:numPr>
        <w:autoSpaceDE w:val="0"/>
        <w:autoSpaceDN w:val="0"/>
        <w:adjustRightInd w:val="0"/>
        <w:spacing w:before="240" w:after="200" w:line="276" w:lineRule="auto"/>
        <w:jc w:val="both"/>
        <w:rPr>
          <w:rFonts w:ascii="Arial" w:hAnsi="Arial" w:cs="Arial"/>
          <w:color w:val="404040"/>
        </w:rPr>
      </w:pPr>
      <w:r w:rsidRPr="00004A4B">
        <w:rPr>
          <w:rFonts w:ascii="Arial" w:hAnsi="Arial" w:cs="Arial"/>
          <w:color w:val="404040"/>
        </w:rPr>
        <w:t>Se evidencia el cumplimiento del procedimiento de registro de pago al beneficiario final establecido en el Reglamento de uso del SIIF Nación (Aprobado en sesión ordinaria del 26 de febrero de 2013, acta No. 16), el cual dispone  que “Generada la orden de pago se imprime y se le informa al beneficiario que el día fijado como fecha de giro/pago recibirá un abono a su cuenta bancaria, el cual puede consultar en el portal de pagos del SIIF Nación, indicándole que una vez recibido el abono en su cuenta dispone de (3) días hábiles para manifestar cualq</w:t>
      </w:r>
      <w:r w:rsidR="00164870">
        <w:rPr>
          <w:rFonts w:ascii="Arial" w:hAnsi="Arial" w:cs="Arial"/>
          <w:color w:val="404040"/>
        </w:rPr>
        <w:t xml:space="preserve">uier inconformidad sobre el paga. </w:t>
      </w:r>
      <w:r w:rsidRPr="00004A4B">
        <w:rPr>
          <w:rFonts w:ascii="Arial" w:hAnsi="Arial" w:cs="Arial"/>
          <w:color w:val="404040"/>
        </w:rPr>
        <w:t>Cuando la orden de pago esté en estado pagado, se verifica con el beneficiario que los recursos fueron recibidos y se debe dejar constancia de ello”.</w:t>
      </w:r>
    </w:p>
    <w:p w:rsidR="00FA0883" w:rsidRDefault="00674A71" w:rsidP="00674A71">
      <w:pPr>
        <w:pStyle w:val="Prrafodelista"/>
        <w:numPr>
          <w:ilvl w:val="0"/>
          <w:numId w:val="19"/>
        </w:numPr>
        <w:autoSpaceDE w:val="0"/>
        <w:autoSpaceDN w:val="0"/>
        <w:adjustRightInd w:val="0"/>
        <w:jc w:val="both"/>
        <w:rPr>
          <w:rFonts w:ascii="Arial" w:hAnsi="Arial" w:cs="Arial"/>
          <w:b/>
          <w:color w:val="404040"/>
        </w:rPr>
      </w:pPr>
      <w:r w:rsidRPr="00674A71">
        <w:rPr>
          <w:rFonts w:ascii="Arial" w:hAnsi="Arial" w:cs="Arial"/>
          <w:b/>
          <w:color w:val="404040"/>
        </w:rPr>
        <w:t>Conciliaciones</w:t>
      </w:r>
      <w:r>
        <w:rPr>
          <w:rFonts w:ascii="Arial" w:hAnsi="Arial" w:cs="Arial"/>
          <w:b/>
          <w:color w:val="404040"/>
        </w:rPr>
        <w:t xml:space="preserve"> Bancarias</w:t>
      </w:r>
    </w:p>
    <w:p w:rsidR="009A3259" w:rsidRPr="009A3259" w:rsidRDefault="009A3259" w:rsidP="00917154">
      <w:pPr>
        <w:pStyle w:val="Default"/>
        <w:spacing w:before="240"/>
        <w:jc w:val="both"/>
        <w:rPr>
          <w:b/>
          <w:color w:val="404040"/>
          <w:lang w:val="es-ES"/>
        </w:rPr>
      </w:pPr>
      <w:r w:rsidRPr="009A3259">
        <w:rPr>
          <w:color w:val="404040"/>
          <w:sz w:val="22"/>
          <w:szCs w:val="22"/>
        </w:rPr>
        <w:t xml:space="preserve">Con corte al mes de </w:t>
      </w:r>
      <w:r>
        <w:rPr>
          <w:color w:val="404040"/>
          <w:sz w:val="22"/>
          <w:szCs w:val="22"/>
        </w:rPr>
        <w:t>octubre</w:t>
      </w:r>
      <w:r w:rsidRPr="009A3259">
        <w:rPr>
          <w:color w:val="404040"/>
          <w:sz w:val="22"/>
          <w:szCs w:val="22"/>
        </w:rPr>
        <w:t xml:space="preserve"> del año en curso, se pudo evidenciar la elaboración de las conciliaciones bancarias de los siguientes bancos:</w:t>
      </w:r>
    </w:p>
    <w:p w:rsidR="009A3259" w:rsidRPr="00135A28" w:rsidRDefault="009A3259" w:rsidP="009A3259">
      <w:pPr>
        <w:pStyle w:val="Default"/>
        <w:numPr>
          <w:ilvl w:val="0"/>
          <w:numId w:val="29"/>
        </w:numPr>
        <w:spacing w:before="240"/>
        <w:jc w:val="both"/>
        <w:rPr>
          <w:color w:val="333333"/>
          <w:sz w:val="22"/>
          <w:szCs w:val="22"/>
          <w:lang w:val="es-ES"/>
        </w:rPr>
      </w:pPr>
      <w:r w:rsidRPr="00135A28">
        <w:rPr>
          <w:b/>
          <w:color w:val="333333"/>
          <w:sz w:val="22"/>
          <w:szCs w:val="22"/>
          <w:lang w:val="es-ES"/>
        </w:rPr>
        <w:t>Banco Popular – cuenta corriente 110- 040-03016-5 - Gastos personales:</w:t>
      </w:r>
      <w:r w:rsidRPr="00135A28">
        <w:rPr>
          <w:rStyle w:val="Textoennegrita"/>
          <w:b w:val="0"/>
          <w:bCs w:val="0"/>
          <w:i/>
          <w:color w:val="auto"/>
          <w:sz w:val="22"/>
          <w:szCs w:val="22"/>
        </w:rPr>
        <w:t xml:space="preserve"> </w:t>
      </w:r>
      <w:r w:rsidRPr="00135A28">
        <w:rPr>
          <w:color w:val="333333"/>
          <w:sz w:val="22"/>
          <w:szCs w:val="22"/>
          <w:lang w:val="es-ES"/>
        </w:rPr>
        <w:t>En esta cuenta se manejan los recursos de gastos de personal de la planta global.</w:t>
      </w:r>
    </w:p>
    <w:p w:rsidR="009A3259" w:rsidRDefault="009A3259" w:rsidP="009A3259">
      <w:pPr>
        <w:pStyle w:val="Default"/>
        <w:numPr>
          <w:ilvl w:val="0"/>
          <w:numId w:val="29"/>
        </w:numPr>
        <w:spacing w:before="240"/>
        <w:jc w:val="both"/>
        <w:rPr>
          <w:bCs/>
          <w:color w:val="333333"/>
          <w:sz w:val="22"/>
          <w:szCs w:val="22"/>
          <w:lang w:val="es-ES"/>
        </w:rPr>
      </w:pPr>
      <w:r w:rsidRPr="00135A28">
        <w:rPr>
          <w:b/>
          <w:color w:val="333333"/>
          <w:sz w:val="22"/>
          <w:szCs w:val="22"/>
          <w:lang w:val="es-ES"/>
        </w:rPr>
        <w:t>Banco Popular – cuenta corriente 110-040-03108-0 – Gastos personales</w:t>
      </w:r>
      <w:r w:rsidRPr="00135A28">
        <w:rPr>
          <w:bCs/>
          <w:color w:val="333333"/>
          <w:sz w:val="22"/>
          <w:szCs w:val="22"/>
          <w:lang w:val="es-ES"/>
        </w:rPr>
        <w:t>:</w:t>
      </w:r>
      <w:r w:rsidRPr="00135A28">
        <w:rPr>
          <w:b/>
          <w:color w:val="333333"/>
          <w:sz w:val="22"/>
          <w:szCs w:val="22"/>
          <w:lang w:val="es-ES"/>
        </w:rPr>
        <w:t xml:space="preserve"> </w:t>
      </w:r>
      <w:r w:rsidRPr="00135A28">
        <w:rPr>
          <w:color w:val="333333"/>
          <w:sz w:val="22"/>
          <w:szCs w:val="22"/>
          <w:lang w:val="es-ES"/>
        </w:rPr>
        <w:t>Destinada para el m</w:t>
      </w:r>
      <w:r w:rsidRPr="00135A28">
        <w:rPr>
          <w:bCs/>
          <w:color w:val="333333"/>
          <w:sz w:val="22"/>
          <w:szCs w:val="22"/>
          <w:lang w:val="es-ES"/>
        </w:rPr>
        <w:t>anejo de recursos de inversión de la planta temporal.</w:t>
      </w:r>
    </w:p>
    <w:p w:rsidR="00873B9F" w:rsidRPr="00873B9F" w:rsidRDefault="00873B9F" w:rsidP="00873B9F">
      <w:pPr>
        <w:pStyle w:val="Default"/>
        <w:spacing w:before="240"/>
        <w:jc w:val="both"/>
        <w:rPr>
          <w:color w:val="404040"/>
          <w:sz w:val="22"/>
          <w:szCs w:val="22"/>
        </w:rPr>
      </w:pPr>
      <w:r w:rsidRPr="00873B9F">
        <w:rPr>
          <w:color w:val="404040"/>
          <w:sz w:val="22"/>
          <w:szCs w:val="22"/>
        </w:rPr>
        <w:t>Mensualmente el Grupo de Gestión Financiera confronta y concilia los saldos de las cuentas bancarias de la Entidad, con los movimientos de los libros auxiliares de bancos y los extractos, a fin de establecer diferencias, si las hay, analizarlas y registrar en la conciliación.</w:t>
      </w:r>
    </w:p>
    <w:p w:rsidR="00873B9F" w:rsidRDefault="00873B9F" w:rsidP="00873B9F">
      <w:pPr>
        <w:pStyle w:val="Default"/>
        <w:spacing w:before="240"/>
        <w:jc w:val="both"/>
        <w:rPr>
          <w:color w:val="404040"/>
          <w:sz w:val="22"/>
          <w:szCs w:val="22"/>
        </w:rPr>
      </w:pPr>
      <w:r w:rsidRPr="00873B9F">
        <w:rPr>
          <w:color w:val="404040"/>
          <w:sz w:val="22"/>
          <w:szCs w:val="22"/>
        </w:rPr>
        <w:t xml:space="preserve">De acuerdo con las anteriores conciliaciones bancarias, a </w:t>
      </w:r>
      <w:r w:rsidR="003805A5" w:rsidRPr="00873B9F">
        <w:rPr>
          <w:color w:val="404040"/>
          <w:sz w:val="22"/>
          <w:szCs w:val="22"/>
        </w:rPr>
        <w:t>continuación,</w:t>
      </w:r>
      <w:r w:rsidRPr="00873B9F">
        <w:rPr>
          <w:color w:val="404040"/>
          <w:sz w:val="22"/>
          <w:szCs w:val="22"/>
        </w:rPr>
        <w:t xml:space="preserve"> se presentan las partidas conciliatorias al mes de </w:t>
      </w:r>
      <w:r>
        <w:rPr>
          <w:color w:val="404040"/>
          <w:sz w:val="22"/>
          <w:szCs w:val="22"/>
        </w:rPr>
        <w:t>octubre</w:t>
      </w:r>
      <w:r w:rsidRPr="00873B9F">
        <w:rPr>
          <w:color w:val="404040"/>
          <w:sz w:val="22"/>
          <w:szCs w:val="22"/>
        </w:rPr>
        <w:t xml:space="preserve"> de 201</w:t>
      </w:r>
      <w:r>
        <w:rPr>
          <w:color w:val="404040"/>
          <w:sz w:val="22"/>
          <w:szCs w:val="22"/>
        </w:rPr>
        <w:t>9</w:t>
      </w:r>
      <w:r w:rsidRPr="00873B9F">
        <w:rPr>
          <w:color w:val="404040"/>
          <w:sz w:val="22"/>
          <w:szCs w:val="22"/>
        </w:rPr>
        <w:t>:</w:t>
      </w:r>
    </w:p>
    <w:p w:rsidR="003805A5" w:rsidRDefault="003805A5" w:rsidP="00873B9F">
      <w:pPr>
        <w:pStyle w:val="Default"/>
        <w:spacing w:before="240"/>
        <w:jc w:val="both"/>
        <w:rPr>
          <w:color w:val="404040"/>
          <w:sz w:val="22"/>
          <w:szCs w:val="22"/>
        </w:rPr>
      </w:pPr>
    </w:p>
    <w:tbl>
      <w:tblPr>
        <w:tblW w:w="9275"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4A0" w:firstRow="1" w:lastRow="0" w:firstColumn="1" w:lastColumn="0" w:noHBand="0" w:noVBand="1"/>
      </w:tblPr>
      <w:tblGrid>
        <w:gridCol w:w="2346"/>
        <w:gridCol w:w="2531"/>
        <w:gridCol w:w="1464"/>
        <w:gridCol w:w="1624"/>
        <w:gridCol w:w="1310"/>
      </w:tblGrid>
      <w:tr w:rsidR="009712F5" w:rsidRPr="00021F5C" w:rsidTr="009712F5">
        <w:trPr>
          <w:trHeight w:val="387"/>
          <w:tblCellSpacing w:w="20" w:type="dxa"/>
        </w:trPr>
        <w:tc>
          <w:tcPr>
            <w:tcW w:w="2286" w:type="dxa"/>
            <w:shd w:val="clear" w:color="auto" w:fill="auto"/>
          </w:tcPr>
          <w:p w:rsidR="009712F5" w:rsidRPr="00F117C2" w:rsidRDefault="009712F5" w:rsidP="0040018B">
            <w:pPr>
              <w:pStyle w:val="Default"/>
              <w:spacing w:before="240"/>
              <w:jc w:val="center"/>
              <w:rPr>
                <w:b/>
                <w:color w:val="365F91"/>
                <w:sz w:val="16"/>
                <w:szCs w:val="16"/>
                <w:lang w:val="es-ES"/>
              </w:rPr>
            </w:pPr>
            <w:r w:rsidRPr="00F117C2">
              <w:rPr>
                <w:b/>
                <w:color w:val="365F91"/>
                <w:sz w:val="16"/>
                <w:szCs w:val="16"/>
                <w:lang w:val="es-ES"/>
              </w:rPr>
              <w:t>Entidad Bancaria</w:t>
            </w:r>
          </w:p>
        </w:tc>
        <w:tc>
          <w:tcPr>
            <w:tcW w:w="2491" w:type="dxa"/>
            <w:shd w:val="clear" w:color="auto" w:fill="auto"/>
          </w:tcPr>
          <w:p w:rsidR="009712F5" w:rsidRPr="00F117C2" w:rsidRDefault="009712F5" w:rsidP="0040018B">
            <w:pPr>
              <w:pStyle w:val="Default"/>
              <w:spacing w:before="240"/>
              <w:jc w:val="center"/>
              <w:rPr>
                <w:b/>
                <w:color w:val="365F91"/>
                <w:sz w:val="16"/>
                <w:szCs w:val="16"/>
                <w:lang w:val="es-ES"/>
              </w:rPr>
            </w:pPr>
            <w:r w:rsidRPr="00F117C2">
              <w:rPr>
                <w:b/>
                <w:color w:val="365F91"/>
                <w:sz w:val="16"/>
                <w:szCs w:val="16"/>
                <w:lang w:val="es-ES"/>
              </w:rPr>
              <w:t>Objeto del Gasto</w:t>
            </w:r>
          </w:p>
        </w:tc>
        <w:tc>
          <w:tcPr>
            <w:tcW w:w="1424" w:type="dxa"/>
            <w:shd w:val="clear" w:color="auto" w:fill="auto"/>
          </w:tcPr>
          <w:p w:rsidR="009712F5" w:rsidRPr="00F117C2" w:rsidRDefault="009712F5" w:rsidP="0040018B">
            <w:pPr>
              <w:pStyle w:val="Default"/>
              <w:spacing w:before="240"/>
              <w:jc w:val="center"/>
              <w:rPr>
                <w:b/>
                <w:color w:val="365F91"/>
                <w:sz w:val="16"/>
                <w:szCs w:val="16"/>
                <w:lang w:val="es-ES"/>
              </w:rPr>
            </w:pPr>
            <w:r>
              <w:rPr>
                <w:b/>
                <w:color w:val="365F91"/>
                <w:sz w:val="16"/>
                <w:szCs w:val="16"/>
                <w:lang w:val="es-ES"/>
              </w:rPr>
              <w:t>Saldo extracto bancario</w:t>
            </w:r>
          </w:p>
        </w:tc>
        <w:tc>
          <w:tcPr>
            <w:tcW w:w="1584" w:type="dxa"/>
            <w:shd w:val="clear" w:color="auto" w:fill="auto"/>
          </w:tcPr>
          <w:p w:rsidR="009712F5" w:rsidRPr="00F117C2" w:rsidRDefault="009712F5" w:rsidP="00A774E6">
            <w:pPr>
              <w:pStyle w:val="Default"/>
              <w:spacing w:before="240"/>
              <w:jc w:val="center"/>
              <w:rPr>
                <w:b/>
                <w:color w:val="365F91"/>
                <w:sz w:val="16"/>
                <w:szCs w:val="16"/>
                <w:lang w:val="es-ES"/>
              </w:rPr>
            </w:pPr>
            <w:r>
              <w:rPr>
                <w:b/>
                <w:color w:val="365F91"/>
                <w:sz w:val="16"/>
                <w:szCs w:val="16"/>
                <w:lang w:val="es-ES"/>
              </w:rPr>
              <w:t>Saldo libros SIIF</w:t>
            </w:r>
          </w:p>
        </w:tc>
        <w:tc>
          <w:tcPr>
            <w:tcW w:w="1250" w:type="dxa"/>
            <w:shd w:val="clear" w:color="auto" w:fill="auto"/>
          </w:tcPr>
          <w:p w:rsidR="009712F5" w:rsidRPr="00F117C2" w:rsidRDefault="009712F5" w:rsidP="0040018B">
            <w:pPr>
              <w:pStyle w:val="Default"/>
              <w:spacing w:before="240"/>
              <w:jc w:val="center"/>
              <w:rPr>
                <w:b/>
                <w:color w:val="365F91"/>
                <w:sz w:val="16"/>
                <w:szCs w:val="16"/>
                <w:lang w:val="es-ES"/>
              </w:rPr>
            </w:pPr>
            <w:r>
              <w:rPr>
                <w:b/>
                <w:color w:val="365F91"/>
                <w:sz w:val="16"/>
                <w:szCs w:val="16"/>
                <w:lang w:val="es-ES"/>
              </w:rPr>
              <w:t>Concepto</w:t>
            </w:r>
          </w:p>
        </w:tc>
      </w:tr>
      <w:tr w:rsidR="009712F5" w:rsidRPr="00021F5C" w:rsidTr="009712F5">
        <w:trPr>
          <w:trHeight w:val="964"/>
          <w:tblCellSpacing w:w="20" w:type="dxa"/>
        </w:trPr>
        <w:tc>
          <w:tcPr>
            <w:tcW w:w="2286" w:type="dxa"/>
            <w:shd w:val="clear" w:color="auto" w:fill="auto"/>
          </w:tcPr>
          <w:p w:rsidR="009712F5" w:rsidRPr="00F117C2" w:rsidRDefault="009712F5" w:rsidP="0040018B">
            <w:pPr>
              <w:pStyle w:val="Default"/>
              <w:spacing w:before="240"/>
              <w:jc w:val="both"/>
              <w:rPr>
                <w:b/>
                <w:bCs/>
                <w:sz w:val="16"/>
                <w:szCs w:val="16"/>
                <w:lang w:val="es-ES"/>
              </w:rPr>
            </w:pPr>
            <w:r w:rsidRPr="00F117C2">
              <w:rPr>
                <w:b/>
                <w:bCs/>
                <w:color w:val="333333"/>
                <w:sz w:val="16"/>
                <w:szCs w:val="16"/>
                <w:lang w:val="es-ES"/>
              </w:rPr>
              <w:t>Banco Popular</w:t>
            </w:r>
          </w:p>
        </w:tc>
        <w:tc>
          <w:tcPr>
            <w:tcW w:w="2491" w:type="dxa"/>
            <w:shd w:val="clear" w:color="auto" w:fill="auto"/>
          </w:tcPr>
          <w:p w:rsidR="009712F5" w:rsidRPr="00F117C2" w:rsidRDefault="009712F5" w:rsidP="0040018B">
            <w:pPr>
              <w:pStyle w:val="Default"/>
              <w:spacing w:before="240"/>
              <w:jc w:val="both"/>
              <w:rPr>
                <w:bCs/>
                <w:sz w:val="16"/>
                <w:szCs w:val="16"/>
                <w:lang w:val="es-ES"/>
              </w:rPr>
            </w:pPr>
            <w:r w:rsidRPr="00F117C2">
              <w:rPr>
                <w:bCs/>
                <w:sz w:val="16"/>
                <w:szCs w:val="16"/>
                <w:lang w:val="es-ES"/>
              </w:rPr>
              <w:t>Gastos personales PG -165</w:t>
            </w:r>
          </w:p>
        </w:tc>
        <w:tc>
          <w:tcPr>
            <w:tcW w:w="1424" w:type="dxa"/>
            <w:shd w:val="clear" w:color="auto" w:fill="auto"/>
          </w:tcPr>
          <w:p w:rsidR="009712F5" w:rsidRPr="00F117C2" w:rsidRDefault="009712F5" w:rsidP="0040018B">
            <w:pPr>
              <w:pStyle w:val="Default"/>
              <w:spacing w:before="240"/>
              <w:jc w:val="center"/>
              <w:rPr>
                <w:bCs/>
                <w:sz w:val="16"/>
                <w:szCs w:val="16"/>
                <w:lang w:val="es-ES"/>
              </w:rPr>
            </w:pPr>
            <w:r>
              <w:rPr>
                <w:bCs/>
                <w:sz w:val="16"/>
                <w:szCs w:val="16"/>
                <w:lang w:val="es-ES"/>
              </w:rPr>
              <w:t>$4.295.944</w:t>
            </w:r>
          </w:p>
        </w:tc>
        <w:tc>
          <w:tcPr>
            <w:tcW w:w="1584" w:type="dxa"/>
            <w:shd w:val="clear" w:color="auto" w:fill="auto"/>
          </w:tcPr>
          <w:p w:rsidR="009712F5" w:rsidRPr="00F117C2" w:rsidRDefault="009712F5" w:rsidP="0040018B">
            <w:pPr>
              <w:pStyle w:val="Default"/>
              <w:spacing w:before="240"/>
              <w:jc w:val="center"/>
              <w:rPr>
                <w:bCs/>
                <w:sz w:val="16"/>
                <w:szCs w:val="16"/>
                <w:lang w:val="es-ES"/>
              </w:rPr>
            </w:pPr>
            <w:r>
              <w:rPr>
                <w:bCs/>
                <w:sz w:val="16"/>
                <w:szCs w:val="16"/>
                <w:lang w:val="es-ES"/>
              </w:rPr>
              <w:t>0.00</w:t>
            </w:r>
          </w:p>
        </w:tc>
        <w:tc>
          <w:tcPr>
            <w:tcW w:w="1250" w:type="dxa"/>
            <w:shd w:val="clear" w:color="auto" w:fill="auto"/>
          </w:tcPr>
          <w:p w:rsidR="009712F5" w:rsidRPr="00F117C2" w:rsidRDefault="009712F5" w:rsidP="009712F5">
            <w:pPr>
              <w:pStyle w:val="Default"/>
              <w:spacing w:before="240"/>
              <w:jc w:val="center"/>
              <w:rPr>
                <w:bCs/>
                <w:sz w:val="16"/>
                <w:szCs w:val="16"/>
                <w:lang w:val="es-ES"/>
              </w:rPr>
            </w:pPr>
            <w:r>
              <w:rPr>
                <w:bCs/>
                <w:sz w:val="16"/>
                <w:szCs w:val="16"/>
                <w:lang w:val="es-ES"/>
              </w:rPr>
              <w:t>Pagos pendiente de efectuar por el banco</w:t>
            </w:r>
          </w:p>
        </w:tc>
      </w:tr>
      <w:tr w:rsidR="009712F5" w:rsidRPr="00021F5C" w:rsidTr="009712F5">
        <w:trPr>
          <w:trHeight w:val="766"/>
          <w:tblCellSpacing w:w="20" w:type="dxa"/>
        </w:trPr>
        <w:tc>
          <w:tcPr>
            <w:tcW w:w="2286" w:type="dxa"/>
            <w:shd w:val="clear" w:color="auto" w:fill="auto"/>
          </w:tcPr>
          <w:p w:rsidR="009712F5" w:rsidRPr="00F117C2" w:rsidRDefault="009712F5" w:rsidP="0040018B">
            <w:pPr>
              <w:pStyle w:val="Default"/>
              <w:spacing w:before="240"/>
              <w:jc w:val="both"/>
              <w:rPr>
                <w:b/>
                <w:bCs/>
                <w:sz w:val="16"/>
                <w:szCs w:val="16"/>
                <w:lang w:val="es-ES"/>
              </w:rPr>
            </w:pPr>
            <w:r w:rsidRPr="00F117C2">
              <w:rPr>
                <w:b/>
                <w:bCs/>
                <w:color w:val="333333"/>
                <w:sz w:val="16"/>
                <w:szCs w:val="16"/>
                <w:lang w:val="es-ES"/>
              </w:rPr>
              <w:t>Banco Popular</w:t>
            </w:r>
          </w:p>
        </w:tc>
        <w:tc>
          <w:tcPr>
            <w:tcW w:w="2491" w:type="dxa"/>
            <w:shd w:val="clear" w:color="auto" w:fill="auto"/>
          </w:tcPr>
          <w:p w:rsidR="009712F5" w:rsidRPr="00F117C2" w:rsidRDefault="009712F5" w:rsidP="0040018B">
            <w:pPr>
              <w:pStyle w:val="Default"/>
              <w:spacing w:before="240"/>
              <w:jc w:val="both"/>
              <w:rPr>
                <w:bCs/>
                <w:sz w:val="16"/>
                <w:szCs w:val="16"/>
                <w:lang w:val="es-ES"/>
              </w:rPr>
            </w:pPr>
            <w:r w:rsidRPr="00F117C2">
              <w:rPr>
                <w:bCs/>
                <w:sz w:val="16"/>
                <w:szCs w:val="16"/>
                <w:lang w:val="es-ES"/>
              </w:rPr>
              <w:t>Gastos personales PT 1080</w:t>
            </w:r>
          </w:p>
        </w:tc>
        <w:tc>
          <w:tcPr>
            <w:tcW w:w="1424" w:type="dxa"/>
            <w:shd w:val="clear" w:color="auto" w:fill="auto"/>
          </w:tcPr>
          <w:p w:rsidR="009712F5" w:rsidRPr="00F117C2" w:rsidRDefault="009712F5" w:rsidP="0040018B">
            <w:pPr>
              <w:pStyle w:val="Default"/>
              <w:spacing w:before="240"/>
              <w:jc w:val="center"/>
              <w:rPr>
                <w:bCs/>
                <w:sz w:val="16"/>
                <w:szCs w:val="16"/>
                <w:lang w:val="es-ES"/>
              </w:rPr>
            </w:pPr>
            <w:r>
              <w:rPr>
                <w:bCs/>
                <w:sz w:val="16"/>
                <w:szCs w:val="16"/>
                <w:lang w:val="es-ES"/>
              </w:rPr>
              <w:t>0.00</w:t>
            </w:r>
          </w:p>
        </w:tc>
        <w:tc>
          <w:tcPr>
            <w:tcW w:w="1584" w:type="dxa"/>
            <w:shd w:val="clear" w:color="auto" w:fill="auto"/>
          </w:tcPr>
          <w:p w:rsidR="009712F5" w:rsidRPr="00F117C2" w:rsidRDefault="009712F5" w:rsidP="0040018B">
            <w:pPr>
              <w:pStyle w:val="Default"/>
              <w:spacing w:before="240"/>
              <w:jc w:val="center"/>
              <w:rPr>
                <w:bCs/>
                <w:sz w:val="16"/>
                <w:szCs w:val="16"/>
                <w:lang w:val="es-ES"/>
              </w:rPr>
            </w:pPr>
            <w:r>
              <w:rPr>
                <w:bCs/>
                <w:sz w:val="16"/>
                <w:szCs w:val="16"/>
                <w:lang w:val="es-ES"/>
              </w:rPr>
              <w:t>0.00</w:t>
            </w:r>
          </w:p>
        </w:tc>
        <w:tc>
          <w:tcPr>
            <w:tcW w:w="1250" w:type="dxa"/>
            <w:shd w:val="clear" w:color="auto" w:fill="auto"/>
          </w:tcPr>
          <w:p w:rsidR="009712F5" w:rsidRPr="00F117C2" w:rsidRDefault="009712F5" w:rsidP="0040018B">
            <w:pPr>
              <w:pStyle w:val="Default"/>
              <w:spacing w:before="240"/>
              <w:jc w:val="center"/>
              <w:rPr>
                <w:bCs/>
                <w:sz w:val="16"/>
                <w:szCs w:val="16"/>
                <w:lang w:val="es-ES"/>
              </w:rPr>
            </w:pPr>
          </w:p>
        </w:tc>
      </w:tr>
    </w:tbl>
    <w:p w:rsidR="00D45BC9" w:rsidRPr="006C5E70" w:rsidRDefault="009712F5" w:rsidP="009712F5">
      <w:pPr>
        <w:pStyle w:val="Sinespaciado"/>
        <w:rPr>
          <w:rFonts w:ascii="Arial" w:hAnsi="Arial" w:cs="Arial"/>
          <w:i/>
          <w:sz w:val="14"/>
          <w:szCs w:val="14"/>
          <w:lang w:val="es-ES"/>
        </w:rPr>
      </w:pPr>
      <w:r w:rsidRPr="006C5E70">
        <w:rPr>
          <w:rFonts w:ascii="Arial" w:hAnsi="Arial" w:cs="Arial"/>
          <w:i/>
          <w:sz w:val="14"/>
          <w:szCs w:val="14"/>
          <w:lang w:val="es-ES"/>
        </w:rPr>
        <w:t>Fuente: conciliaciones bancarias- octubre 2019</w:t>
      </w:r>
    </w:p>
    <w:p w:rsidR="009712F5" w:rsidRPr="006C5E70" w:rsidRDefault="009712F5" w:rsidP="009712F5">
      <w:pPr>
        <w:pStyle w:val="Sinespaciado"/>
        <w:rPr>
          <w:rFonts w:ascii="Arial" w:hAnsi="Arial" w:cs="Arial"/>
          <w:sz w:val="14"/>
          <w:szCs w:val="14"/>
          <w:lang w:val="es-ES"/>
        </w:rPr>
      </w:pPr>
    </w:p>
    <w:p w:rsidR="008542A2" w:rsidRPr="008542A2" w:rsidRDefault="008542A2" w:rsidP="008542A2">
      <w:pPr>
        <w:pStyle w:val="Prrafodelista"/>
        <w:numPr>
          <w:ilvl w:val="0"/>
          <w:numId w:val="19"/>
        </w:numPr>
        <w:autoSpaceDE w:val="0"/>
        <w:autoSpaceDN w:val="0"/>
        <w:adjustRightInd w:val="0"/>
        <w:jc w:val="both"/>
        <w:rPr>
          <w:rFonts w:ascii="Arial" w:hAnsi="Arial" w:cs="Arial"/>
          <w:b/>
          <w:color w:val="404040"/>
        </w:rPr>
      </w:pPr>
      <w:r w:rsidRPr="008542A2">
        <w:rPr>
          <w:rFonts w:ascii="Arial" w:hAnsi="Arial" w:cs="Arial"/>
          <w:b/>
          <w:color w:val="404040"/>
        </w:rPr>
        <w:t xml:space="preserve">Conciliaciones </w:t>
      </w:r>
      <w:r>
        <w:rPr>
          <w:rFonts w:ascii="Arial" w:hAnsi="Arial" w:cs="Arial"/>
          <w:b/>
          <w:color w:val="404040"/>
        </w:rPr>
        <w:t>con otras áreas</w:t>
      </w:r>
    </w:p>
    <w:p w:rsidR="00873B9F" w:rsidRDefault="008542A2" w:rsidP="00135A28">
      <w:pPr>
        <w:autoSpaceDE w:val="0"/>
        <w:autoSpaceDN w:val="0"/>
        <w:adjustRightInd w:val="0"/>
        <w:jc w:val="both"/>
        <w:rPr>
          <w:rFonts w:ascii="Arial" w:hAnsi="Arial" w:cs="Arial"/>
          <w:color w:val="404040"/>
        </w:rPr>
      </w:pPr>
      <w:r>
        <w:rPr>
          <w:rFonts w:ascii="Arial" w:hAnsi="Arial" w:cs="Arial"/>
          <w:color w:val="404040"/>
        </w:rPr>
        <w:lastRenderedPageBreak/>
        <w:t xml:space="preserve">La política de operación del subproceso de Gestión Financiera establece: </w:t>
      </w:r>
      <w:r w:rsidRPr="00135A28">
        <w:rPr>
          <w:rFonts w:ascii="Arial" w:hAnsi="Arial" w:cs="Arial"/>
          <w:color w:val="404040"/>
        </w:rPr>
        <w:t>“Los</w:t>
      </w:r>
      <w:r w:rsidR="00135A28" w:rsidRPr="00135A28">
        <w:rPr>
          <w:rFonts w:ascii="Arial" w:hAnsi="Arial" w:cs="Arial"/>
          <w:color w:val="404040"/>
        </w:rPr>
        <w:t xml:space="preserve"> responsables de la contabilidad, del Grupo de Gestión Financiera, concilian sus saldos contables con áreas de Función Pública, tales como el Grupo de Gestión Humana, el Grupo de Gestión Administrativa, Grupo de Defensa Judicial, entre otras; con el propósito de comparar la información registrada en el Sistema de Información Financiero – SIIF NACIÓN y los datos existentes en las diferentes dependencias generadoras de los hechos, efectuando los ajustes contables resultado de la conciliación</w:t>
      </w:r>
      <w:r w:rsidR="00164870">
        <w:rPr>
          <w:rFonts w:ascii="Arial" w:hAnsi="Arial" w:cs="Arial"/>
          <w:color w:val="404040"/>
        </w:rPr>
        <w:t xml:space="preserve">”. </w:t>
      </w:r>
    </w:p>
    <w:p w:rsidR="00164870" w:rsidRPr="00135A28" w:rsidRDefault="00164870" w:rsidP="00135A28">
      <w:pPr>
        <w:autoSpaceDE w:val="0"/>
        <w:autoSpaceDN w:val="0"/>
        <w:adjustRightInd w:val="0"/>
        <w:jc w:val="both"/>
        <w:rPr>
          <w:rFonts w:ascii="Arial" w:hAnsi="Arial" w:cs="Arial"/>
          <w:color w:val="404040"/>
        </w:rPr>
      </w:pPr>
    </w:p>
    <w:p w:rsidR="009712F5" w:rsidRDefault="00135A28" w:rsidP="00135A28">
      <w:pPr>
        <w:autoSpaceDE w:val="0"/>
        <w:autoSpaceDN w:val="0"/>
        <w:adjustRightInd w:val="0"/>
        <w:jc w:val="both"/>
        <w:rPr>
          <w:rFonts w:ascii="Arial" w:hAnsi="Arial" w:cs="Arial"/>
          <w:color w:val="404040"/>
        </w:rPr>
      </w:pPr>
      <w:r w:rsidRPr="00135A28">
        <w:rPr>
          <w:rFonts w:ascii="Arial" w:hAnsi="Arial" w:cs="Arial"/>
          <w:color w:val="404040"/>
        </w:rPr>
        <w:t xml:space="preserve">La conciliación mensual se efectúa </w:t>
      </w:r>
      <w:r w:rsidR="00463EE0">
        <w:rPr>
          <w:rFonts w:ascii="Arial" w:hAnsi="Arial" w:cs="Arial"/>
          <w:color w:val="404040"/>
        </w:rPr>
        <w:t>teniendo en cuenta</w:t>
      </w:r>
      <w:r w:rsidRPr="00135A28">
        <w:rPr>
          <w:rFonts w:ascii="Arial" w:hAnsi="Arial" w:cs="Arial"/>
          <w:color w:val="404040"/>
        </w:rPr>
        <w:t xml:space="preserve"> la circular interna N°007 de 2016, dentro de los plazos establecidos</w:t>
      </w:r>
      <w:r w:rsidR="00463EE0">
        <w:rPr>
          <w:rFonts w:ascii="Arial" w:hAnsi="Arial" w:cs="Arial"/>
          <w:color w:val="404040"/>
        </w:rPr>
        <w:t xml:space="preserve">, la cual se </w:t>
      </w:r>
      <w:r w:rsidRPr="00135A28">
        <w:rPr>
          <w:rFonts w:ascii="Arial" w:hAnsi="Arial" w:cs="Arial"/>
          <w:color w:val="404040"/>
        </w:rPr>
        <w:t>archiva digitalmente en el repositorio oficial de documentos</w:t>
      </w:r>
      <w:r w:rsidR="00463EE0">
        <w:rPr>
          <w:rFonts w:ascii="Arial" w:hAnsi="Arial" w:cs="Arial"/>
          <w:color w:val="404040"/>
        </w:rPr>
        <w:t xml:space="preserve">. A continuación se reporta el estado de las conciliaciones con las respectivas áreas, al mes de octubre de 2019: </w:t>
      </w:r>
    </w:p>
    <w:p w:rsidR="00463EE0" w:rsidRDefault="00463EE0" w:rsidP="00135A28">
      <w:pPr>
        <w:autoSpaceDE w:val="0"/>
        <w:autoSpaceDN w:val="0"/>
        <w:adjustRightInd w:val="0"/>
        <w:jc w:val="both"/>
        <w:rPr>
          <w:rFonts w:ascii="Arial" w:hAnsi="Arial" w:cs="Arial"/>
          <w:color w:val="404040"/>
        </w:rPr>
      </w:pPr>
    </w:p>
    <w:tbl>
      <w:tblPr>
        <w:tblStyle w:val="Listaclara-nfasis1"/>
        <w:tblW w:w="0" w:type="auto"/>
        <w:tblInd w:w="108" w:type="dxa"/>
        <w:tblLook w:val="04A0" w:firstRow="1" w:lastRow="0" w:firstColumn="1" w:lastColumn="0" w:noHBand="0" w:noVBand="1"/>
      </w:tblPr>
      <w:tblGrid>
        <w:gridCol w:w="2410"/>
        <w:gridCol w:w="2693"/>
        <w:gridCol w:w="4001"/>
      </w:tblGrid>
      <w:tr w:rsidR="00463EE0" w:rsidTr="006E1EB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463EE0" w:rsidRPr="000510E4" w:rsidRDefault="00463EE0" w:rsidP="00463EE0">
            <w:pPr>
              <w:autoSpaceDE w:val="0"/>
              <w:autoSpaceDN w:val="0"/>
              <w:adjustRightInd w:val="0"/>
              <w:jc w:val="center"/>
              <w:rPr>
                <w:rFonts w:ascii="Arial" w:hAnsi="Arial" w:cs="Arial"/>
              </w:rPr>
            </w:pPr>
            <w:r w:rsidRPr="000510E4">
              <w:rPr>
                <w:rFonts w:ascii="Arial" w:hAnsi="Arial" w:cs="Arial"/>
              </w:rPr>
              <w:t>Dependencia</w:t>
            </w:r>
          </w:p>
        </w:tc>
        <w:tc>
          <w:tcPr>
            <w:tcW w:w="2693" w:type="dxa"/>
          </w:tcPr>
          <w:p w:rsidR="00463EE0" w:rsidRPr="000510E4" w:rsidRDefault="00463EE0" w:rsidP="00463EE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510E4">
              <w:rPr>
                <w:rFonts w:ascii="Arial" w:hAnsi="Arial" w:cs="Arial"/>
              </w:rPr>
              <w:t>Diferencia presentada</w:t>
            </w:r>
          </w:p>
        </w:tc>
        <w:tc>
          <w:tcPr>
            <w:tcW w:w="4001" w:type="dxa"/>
          </w:tcPr>
          <w:p w:rsidR="00463EE0" w:rsidRDefault="00463EE0" w:rsidP="00463EE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0510E4">
              <w:rPr>
                <w:rFonts w:ascii="Arial" w:hAnsi="Arial" w:cs="Arial"/>
              </w:rPr>
              <w:t>Observación</w:t>
            </w:r>
            <w:r w:rsidR="006E1EB0">
              <w:rPr>
                <w:rFonts w:ascii="Arial" w:hAnsi="Arial" w:cs="Arial"/>
              </w:rPr>
              <w:t xml:space="preserve"> de la Conciliación</w:t>
            </w:r>
          </w:p>
          <w:p w:rsidR="000510E4" w:rsidRPr="000510E4" w:rsidRDefault="000510E4" w:rsidP="00463EE0">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ascii="Arial" w:hAnsi="Arial" w:cs="Arial"/>
              </w:rPr>
            </w:pPr>
          </w:p>
        </w:tc>
      </w:tr>
      <w:tr w:rsidR="00463EE0" w:rsidTr="006E1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463EE0" w:rsidRDefault="00463EE0" w:rsidP="00135A28">
            <w:pPr>
              <w:autoSpaceDE w:val="0"/>
              <w:autoSpaceDN w:val="0"/>
              <w:adjustRightInd w:val="0"/>
              <w:jc w:val="both"/>
              <w:rPr>
                <w:rFonts w:ascii="Arial" w:hAnsi="Arial" w:cs="Arial"/>
                <w:i/>
                <w:color w:val="404040"/>
                <w:sz w:val="20"/>
                <w:szCs w:val="20"/>
              </w:rPr>
            </w:pPr>
          </w:p>
          <w:p w:rsidR="00463EE0" w:rsidRDefault="00463EE0" w:rsidP="00135A28">
            <w:pPr>
              <w:autoSpaceDE w:val="0"/>
              <w:autoSpaceDN w:val="0"/>
              <w:adjustRightInd w:val="0"/>
              <w:jc w:val="both"/>
              <w:rPr>
                <w:rFonts w:ascii="Arial" w:hAnsi="Arial" w:cs="Arial"/>
                <w:i/>
                <w:color w:val="404040"/>
                <w:sz w:val="20"/>
                <w:szCs w:val="20"/>
              </w:rPr>
            </w:pPr>
          </w:p>
          <w:p w:rsidR="00463EE0" w:rsidRDefault="00463EE0" w:rsidP="00135A28">
            <w:pPr>
              <w:autoSpaceDE w:val="0"/>
              <w:autoSpaceDN w:val="0"/>
              <w:adjustRightInd w:val="0"/>
              <w:jc w:val="both"/>
              <w:rPr>
                <w:rFonts w:ascii="Arial" w:hAnsi="Arial" w:cs="Arial"/>
                <w:i/>
                <w:color w:val="404040"/>
                <w:sz w:val="20"/>
                <w:szCs w:val="20"/>
              </w:rPr>
            </w:pPr>
          </w:p>
          <w:p w:rsidR="00463EE0" w:rsidRPr="00463EE0" w:rsidRDefault="00463EE0" w:rsidP="00135A28">
            <w:pPr>
              <w:autoSpaceDE w:val="0"/>
              <w:autoSpaceDN w:val="0"/>
              <w:adjustRightInd w:val="0"/>
              <w:jc w:val="both"/>
              <w:rPr>
                <w:rFonts w:ascii="Arial" w:hAnsi="Arial" w:cs="Arial"/>
                <w:i/>
                <w:color w:val="404040"/>
                <w:sz w:val="20"/>
                <w:szCs w:val="20"/>
              </w:rPr>
            </w:pPr>
            <w:r w:rsidRPr="00463EE0">
              <w:rPr>
                <w:rFonts w:ascii="Arial" w:hAnsi="Arial" w:cs="Arial"/>
                <w:i/>
                <w:color w:val="404040"/>
                <w:sz w:val="20"/>
                <w:szCs w:val="20"/>
              </w:rPr>
              <w:t>Almacén General</w:t>
            </w:r>
          </w:p>
        </w:tc>
        <w:tc>
          <w:tcPr>
            <w:tcW w:w="2693" w:type="dxa"/>
          </w:tcPr>
          <w:p w:rsidR="00463EE0" w:rsidRDefault="00463EE0" w:rsidP="00463EE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p>
          <w:p w:rsidR="00463EE0" w:rsidRDefault="00463EE0" w:rsidP="00463EE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p>
          <w:p w:rsidR="00463EE0" w:rsidRDefault="00463EE0" w:rsidP="00463EE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p>
          <w:p w:rsidR="00463EE0" w:rsidRPr="00463EE0" w:rsidRDefault="00463EE0" w:rsidP="00463EE0">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sidRPr="00463EE0">
              <w:rPr>
                <w:rFonts w:ascii="Arial" w:hAnsi="Arial" w:cs="Arial"/>
                <w:i/>
                <w:color w:val="404040"/>
                <w:sz w:val="20"/>
                <w:szCs w:val="20"/>
              </w:rPr>
              <w:t>$46.800.000</w:t>
            </w:r>
            <w:r w:rsidR="00DF2876">
              <w:rPr>
                <w:rFonts w:ascii="Arial" w:hAnsi="Arial" w:cs="Arial"/>
                <w:i/>
                <w:color w:val="404040"/>
                <w:sz w:val="20"/>
                <w:szCs w:val="20"/>
              </w:rPr>
              <w:t>.00</w:t>
            </w:r>
          </w:p>
        </w:tc>
        <w:tc>
          <w:tcPr>
            <w:tcW w:w="4001" w:type="dxa"/>
          </w:tcPr>
          <w:p w:rsidR="00463EE0" w:rsidRPr="00463EE0" w:rsidRDefault="00463EE0" w:rsidP="00463EE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sidRPr="00463EE0">
              <w:rPr>
                <w:rFonts w:ascii="Arial" w:hAnsi="Arial" w:cs="Arial"/>
                <w:i/>
                <w:color w:val="404040"/>
                <w:sz w:val="20"/>
                <w:szCs w:val="20"/>
              </w:rPr>
              <w:t>La diferencia corresponde a derechos del uso del software de Neón, que se encuentra registrado contablemente como un intangible y en su momento no se dio ingreso al Almac</w:t>
            </w:r>
            <w:r>
              <w:rPr>
                <w:rFonts w:ascii="Arial" w:hAnsi="Arial" w:cs="Arial"/>
                <w:i/>
                <w:color w:val="404040"/>
                <w:sz w:val="20"/>
                <w:szCs w:val="20"/>
              </w:rPr>
              <w:t>én. El respectivo ajuste se efectuara antes del próximo cierre contable.</w:t>
            </w:r>
          </w:p>
        </w:tc>
      </w:tr>
      <w:tr w:rsidR="00463EE0" w:rsidTr="006E1EB0">
        <w:tc>
          <w:tcPr>
            <w:cnfStyle w:val="001000000000" w:firstRow="0" w:lastRow="0" w:firstColumn="1" w:lastColumn="0" w:oddVBand="0" w:evenVBand="0" w:oddHBand="0" w:evenHBand="0" w:firstRowFirstColumn="0" w:firstRowLastColumn="0" w:lastRowFirstColumn="0" w:lastRowLastColumn="0"/>
            <w:tcW w:w="2410" w:type="dxa"/>
          </w:tcPr>
          <w:p w:rsidR="00463EE0" w:rsidRDefault="00DF2876" w:rsidP="00DF2876">
            <w:pPr>
              <w:autoSpaceDE w:val="0"/>
              <w:autoSpaceDN w:val="0"/>
              <w:adjustRightInd w:val="0"/>
              <w:jc w:val="both"/>
              <w:rPr>
                <w:rFonts w:ascii="Arial" w:hAnsi="Arial" w:cs="Arial"/>
                <w:i/>
                <w:color w:val="404040"/>
                <w:sz w:val="20"/>
                <w:szCs w:val="20"/>
              </w:rPr>
            </w:pPr>
            <w:r w:rsidRPr="00844B8D">
              <w:rPr>
                <w:rFonts w:ascii="Arial" w:hAnsi="Arial" w:cs="Arial"/>
                <w:i/>
                <w:color w:val="404040"/>
                <w:sz w:val="20"/>
                <w:szCs w:val="20"/>
              </w:rPr>
              <w:t>Dirección Jurídica (demandas)</w:t>
            </w:r>
          </w:p>
          <w:p w:rsidR="000510E4" w:rsidRPr="00844B8D" w:rsidRDefault="000510E4" w:rsidP="00DF2876">
            <w:pPr>
              <w:autoSpaceDE w:val="0"/>
              <w:autoSpaceDN w:val="0"/>
              <w:adjustRightInd w:val="0"/>
              <w:jc w:val="both"/>
              <w:rPr>
                <w:rFonts w:ascii="Arial" w:hAnsi="Arial" w:cs="Arial"/>
                <w:i/>
                <w:color w:val="404040"/>
                <w:sz w:val="20"/>
                <w:szCs w:val="20"/>
              </w:rPr>
            </w:pPr>
          </w:p>
        </w:tc>
        <w:tc>
          <w:tcPr>
            <w:tcW w:w="2693" w:type="dxa"/>
          </w:tcPr>
          <w:p w:rsidR="00463EE0" w:rsidRPr="00844B8D" w:rsidRDefault="00DF2876" w:rsidP="00DF2876">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sidRPr="00844B8D">
              <w:rPr>
                <w:rFonts w:ascii="Arial" w:hAnsi="Arial" w:cs="Arial"/>
                <w:i/>
                <w:color w:val="404040"/>
                <w:sz w:val="20"/>
                <w:szCs w:val="20"/>
              </w:rPr>
              <w:t>0.00</w:t>
            </w:r>
          </w:p>
        </w:tc>
        <w:tc>
          <w:tcPr>
            <w:tcW w:w="4001" w:type="dxa"/>
          </w:tcPr>
          <w:p w:rsidR="00463EE0" w:rsidRPr="00844B8D" w:rsidRDefault="006C5E70" w:rsidP="00135A2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Pr>
                <w:rFonts w:ascii="Arial" w:hAnsi="Arial" w:cs="Arial"/>
                <w:i/>
                <w:color w:val="404040"/>
                <w:sz w:val="20"/>
                <w:szCs w:val="20"/>
              </w:rPr>
              <w:t>N/A</w:t>
            </w:r>
          </w:p>
        </w:tc>
      </w:tr>
      <w:tr w:rsidR="00463EE0" w:rsidTr="006E1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rsidR="00DF2876" w:rsidRPr="00844B8D" w:rsidRDefault="00DF2876" w:rsidP="00135A28">
            <w:pPr>
              <w:autoSpaceDE w:val="0"/>
              <w:autoSpaceDN w:val="0"/>
              <w:adjustRightInd w:val="0"/>
              <w:jc w:val="both"/>
              <w:rPr>
                <w:rFonts w:ascii="Arial" w:hAnsi="Arial" w:cs="Arial"/>
                <w:i/>
                <w:color w:val="404040"/>
                <w:sz w:val="20"/>
                <w:szCs w:val="20"/>
              </w:rPr>
            </w:pPr>
          </w:p>
          <w:p w:rsidR="00463EE0" w:rsidRPr="00844B8D" w:rsidRDefault="00DF2876" w:rsidP="00135A28">
            <w:pPr>
              <w:autoSpaceDE w:val="0"/>
              <w:autoSpaceDN w:val="0"/>
              <w:adjustRightInd w:val="0"/>
              <w:jc w:val="both"/>
              <w:rPr>
                <w:rFonts w:ascii="Arial" w:hAnsi="Arial" w:cs="Arial"/>
                <w:i/>
                <w:color w:val="404040"/>
                <w:sz w:val="20"/>
                <w:szCs w:val="20"/>
              </w:rPr>
            </w:pPr>
            <w:r w:rsidRPr="00844B8D">
              <w:rPr>
                <w:rFonts w:ascii="Arial" w:hAnsi="Arial" w:cs="Arial"/>
                <w:i/>
                <w:color w:val="404040"/>
                <w:sz w:val="20"/>
                <w:szCs w:val="20"/>
              </w:rPr>
              <w:t>Gestión Humana</w:t>
            </w:r>
          </w:p>
          <w:p w:rsidR="00DF2876" w:rsidRPr="00844B8D" w:rsidRDefault="00DF2876" w:rsidP="00135A28">
            <w:pPr>
              <w:autoSpaceDE w:val="0"/>
              <w:autoSpaceDN w:val="0"/>
              <w:adjustRightInd w:val="0"/>
              <w:jc w:val="both"/>
              <w:rPr>
                <w:rFonts w:ascii="Arial" w:hAnsi="Arial" w:cs="Arial"/>
                <w:i/>
                <w:color w:val="404040"/>
                <w:sz w:val="20"/>
                <w:szCs w:val="20"/>
              </w:rPr>
            </w:pPr>
            <w:r w:rsidRPr="00844B8D">
              <w:rPr>
                <w:rFonts w:ascii="Arial" w:hAnsi="Arial" w:cs="Arial"/>
                <w:i/>
                <w:color w:val="404040"/>
                <w:sz w:val="20"/>
                <w:szCs w:val="20"/>
              </w:rPr>
              <w:t>(ICETEX)</w:t>
            </w:r>
          </w:p>
        </w:tc>
        <w:tc>
          <w:tcPr>
            <w:tcW w:w="2693" w:type="dxa"/>
          </w:tcPr>
          <w:p w:rsidR="00844B8D" w:rsidRDefault="00844B8D" w:rsidP="00DF28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p>
          <w:p w:rsidR="00463EE0" w:rsidRPr="00844B8D" w:rsidRDefault="00DF2876" w:rsidP="00DF2876">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sidRPr="00844B8D">
              <w:rPr>
                <w:rFonts w:ascii="Arial" w:hAnsi="Arial" w:cs="Arial"/>
                <w:i/>
                <w:color w:val="404040"/>
                <w:sz w:val="20"/>
                <w:szCs w:val="20"/>
              </w:rPr>
              <w:t>0.00</w:t>
            </w:r>
          </w:p>
        </w:tc>
        <w:tc>
          <w:tcPr>
            <w:tcW w:w="4001" w:type="dxa"/>
          </w:tcPr>
          <w:p w:rsidR="00463EE0" w:rsidRPr="00844B8D" w:rsidRDefault="00DF2876" w:rsidP="006E1EB0">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sidRPr="00844B8D">
              <w:rPr>
                <w:rFonts w:ascii="Arial" w:hAnsi="Arial" w:cs="Arial"/>
                <w:i/>
                <w:color w:val="404040"/>
                <w:sz w:val="20"/>
                <w:szCs w:val="20"/>
              </w:rPr>
              <w:t>Se encuentra pendiente por trasladar al tesoro por parte de ICETEX los rendimientos financieros de: febrero por valor de $691.010.72 y septiembre por valor de $1.040.236.3</w:t>
            </w:r>
            <w:r w:rsidR="006E1EB0">
              <w:rPr>
                <w:rFonts w:ascii="Arial" w:hAnsi="Arial" w:cs="Arial"/>
                <w:i/>
                <w:color w:val="404040"/>
                <w:sz w:val="20"/>
                <w:szCs w:val="20"/>
              </w:rPr>
              <w:t xml:space="preserve">. Se realizaron las respectivas consignaciones. </w:t>
            </w:r>
            <w:r w:rsidRPr="00844B8D">
              <w:rPr>
                <w:rFonts w:ascii="Arial" w:hAnsi="Arial" w:cs="Arial"/>
                <w:i/>
                <w:color w:val="FF0000"/>
                <w:sz w:val="20"/>
                <w:szCs w:val="20"/>
              </w:rPr>
              <w:t xml:space="preserve">   </w:t>
            </w:r>
          </w:p>
        </w:tc>
      </w:tr>
      <w:tr w:rsidR="00844B8D" w:rsidTr="006E1EB0">
        <w:tc>
          <w:tcPr>
            <w:cnfStyle w:val="001000000000" w:firstRow="0" w:lastRow="0" w:firstColumn="1" w:lastColumn="0" w:oddVBand="0" w:evenVBand="0" w:oddHBand="0" w:evenHBand="0" w:firstRowFirstColumn="0" w:firstRowLastColumn="0" w:lastRowFirstColumn="0" w:lastRowLastColumn="0"/>
            <w:tcW w:w="2410" w:type="dxa"/>
            <w:vMerge w:val="restart"/>
          </w:tcPr>
          <w:p w:rsidR="00844B8D" w:rsidRPr="00844B8D" w:rsidRDefault="00844B8D" w:rsidP="00135A28">
            <w:pPr>
              <w:autoSpaceDE w:val="0"/>
              <w:autoSpaceDN w:val="0"/>
              <w:adjustRightInd w:val="0"/>
              <w:jc w:val="both"/>
              <w:rPr>
                <w:rFonts w:ascii="Arial" w:hAnsi="Arial" w:cs="Arial"/>
                <w:i/>
                <w:color w:val="404040"/>
                <w:sz w:val="20"/>
                <w:szCs w:val="20"/>
              </w:rPr>
            </w:pPr>
          </w:p>
          <w:p w:rsidR="00844B8D" w:rsidRPr="00844B8D" w:rsidRDefault="00844B8D" w:rsidP="00135A28">
            <w:pPr>
              <w:autoSpaceDE w:val="0"/>
              <w:autoSpaceDN w:val="0"/>
              <w:adjustRightInd w:val="0"/>
              <w:jc w:val="both"/>
              <w:rPr>
                <w:rFonts w:ascii="Arial" w:hAnsi="Arial" w:cs="Arial"/>
                <w:i/>
                <w:color w:val="404040"/>
                <w:sz w:val="20"/>
                <w:szCs w:val="20"/>
              </w:rPr>
            </w:pPr>
          </w:p>
          <w:p w:rsidR="00844B8D" w:rsidRPr="00844B8D" w:rsidRDefault="00844B8D" w:rsidP="00135A28">
            <w:pPr>
              <w:autoSpaceDE w:val="0"/>
              <w:autoSpaceDN w:val="0"/>
              <w:adjustRightInd w:val="0"/>
              <w:jc w:val="both"/>
              <w:rPr>
                <w:rFonts w:ascii="Arial" w:hAnsi="Arial" w:cs="Arial"/>
                <w:i/>
                <w:color w:val="404040"/>
                <w:sz w:val="20"/>
                <w:szCs w:val="20"/>
              </w:rPr>
            </w:pPr>
          </w:p>
          <w:p w:rsidR="00844B8D" w:rsidRPr="00844B8D" w:rsidRDefault="00844B8D" w:rsidP="00135A28">
            <w:pPr>
              <w:autoSpaceDE w:val="0"/>
              <w:autoSpaceDN w:val="0"/>
              <w:adjustRightInd w:val="0"/>
              <w:jc w:val="both"/>
              <w:rPr>
                <w:rFonts w:ascii="Arial" w:hAnsi="Arial" w:cs="Arial"/>
                <w:i/>
                <w:color w:val="404040"/>
                <w:sz w:val="20"/>
                <w:szCs w:val="20"/>
              </w:rPr>
            </w:pPr>
          </w:p>
          <w:p w:rsidR="00844B8D" w:rsidRPr="00844B8D" w:rsidRDefault="00844B8D" w:rsidP="00135A28">
            <w:pPr>
              <w:autoSpaceDE w:val="0"/>
              <w:autoSpaceDN w:val="0"/>
              <w:adjustRightInd w:val="0"/>
              <w:jc w:val="both"/>
              <w:rPr>
                <w:rFonts w:ascii="Arial" w:hAnsi="Arial" w:cs="Arial"/>
                <w:i/>
                <w:color w:val="404040"/>
                <w:sz w:val="20"/>
                <w:szCs w:val="20"/>
              </w:rPr>
            </w:pPr>
          </w:p>
          <w:p w:rsidR="00844B8D" w:rsidRPr="00844B8D" w:rsidRDefault="00844B8D" w:rsidP="00135A28">
            <w:pPr>
              <w:autoSpaceDE w:val="0"/>
              <w:autoSpaceDN w:val="0"/>
              <w:adjustRightInd w:val="0"/>
              <w:jc w:val="both"/>
              <w:rPr>
                <w:rFonts w:ascii="Arial" w:hAnsi="Arial" w:cs="Arial"/>
                <w:i/>
                <w:color w:val="404040"/>
                <w:sz w:val="20"/>
                <w:szCs w:val="20"/>
              </w:rPr>
            </w:pPr>
            <w:r w:rsidRPr="00844B8D">
              <w:rPr>
                <w:rFonts w:ascii="Arial" w:hAnsi="Arial" w:cs="Arial"/>
                <w:i/>
                <w:color w:val="404040"/>
                <w:sz w:val="20"/>
                <w:szCs w:val="20"/>
              </w:rPr>
              <w:t>Gestión Humana</w:t>
            </w:r>
          </w:p>
          <w:p w:rsidR="00844B8D" w:rsidRPr="00844B8D" w:rsidRDefault="00844B8D" w:rsidP="00135A28">
            <w:pPr>
              <w:autoSpaceDE w:val="0"/>
              <w:autoSpaceDN w:val="0"/>
              <w:adjustRightInd w:val="0"/>
              <w:jc w:val="both"/>
              <w:rPr>
                <w:rFonts w:ascii="Arial" w:hAnsi="Arial" w:cs="Arial"/>
                <w:i/>
                <w:color w:val="404040"/>
                <w:sz w:val="20"/>
                <w:szCs w:val="20"/>
              </w:rPr>
            </w:pPr>
            <w:r w:rsidRPr="00844B8D">
              <w:rPr>
                <w:rFonts w:ascii="Arial" w:hAnsi="Arial" w:cs="Arial"/>
                <w:i/>
                <w:color w:val="404040"/>
                <w:sz w:val="20"/>
                <w:szCs w:val="20"/>
              </w:rPr>
              <w:t>(Incapacidades)</w:t>
            </w:r>
          </w:p>
          <w:p w:rsidR="00844B8D" w:rsidRPr="00844B8D" w:rsidRDefault="00844B8D" w:rsidP="00135A28">
            <w:pPr>
              <w:autoSpaceDE w:val="0"/>
              <w:autoSpaceDN w:val="0"/>
              <w:adjustRightInd w:val="0"/>
              <w:jc w:val="both"/>
              <w:rPr>
                <w:rFonts w:ascii="Arial" w:hAnsi="Arial" w:cs="Arial"/>
                <w:i/>
                <w:color w:val="404040"/>
                <w:sz w:val="20"/>
                <w:szCs w:val="20"/>
              </w:rPr>
            </w:pPr>
          </w:p>
          <w:p w:rsidR="00844B8D" w:rsidRPr="00844B8D" w:rsidRDefault="00844B8D" w:rsidP="00135A28">
            <w:pPr>
              <w:autoSpaceDE w:val="0"/>
              <w:autoSpaceDN w:val="0"/>
              <w:adjustRightInd w:val="0"/>
              <w:jc w:val="both"/>
              <w:rPr>
                <w:rFonts w:ascii="Arial" w:hAnsi="Arial" w:cs="Arial"/>
                <w:i/>
                <w:color w:val="404040"/>
                <w:sz w:val="20"/>
                <w:szCs w:val="20"/>
              </w:rPr>
            </w:pPr>
          </w:p>
          <w:p w:rsidR="00844B8D" w:rsidRPr="00844B8D" w:rsidRDefault="00844B8D" w:rsidP="00135A28">
            <w:pPr>
              <w:autoSpaceDE w:val="0"/>
              <w:autoSpaceDN w:val="0"/>
              <w:adjustRightInd w:val="0"/>
              <w:jc w:val="both"/>
              <w:rPr>
                <w:rFonts w:ascii="Arial" w:hAnsi="Arial" w:cs="Arial"/>
                <w:i/>
                <w:color w:val="404040"/>
                <w:sz w:val="20"/>
                <w:szCs w:val="20"/>
              </w:rPr>
            </w:pPr>
          </w:p>
        </w:tc>
        <w:tc>
          <w:tcPr>
            <w:tcW w:w="2693" w:type="dxa"/>
          </w:tcPr>
          <w:p w:rsidR="00844B8D" w:rsidRDefault="00844B8D" w:rsidP="003A1FA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p>
          <w:p w:rsidR="00844B8D" w:rsidRDefault="00844B8D" w:rsidP="003A1FA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p>
          <w:p w:rsidR="00844B8D" w:rsidRDefault="00844B8D" w:rsidP="003A1FA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p>
          <w:p w:rsidR="00844B8D" w:rsidRDefault="00844B8D" w:rsidP="003A1FA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p>
          <w:p w:rsidR="00844B8D" w:rsidRPr="00844B8D" w:rsidRDefault="00844B8D" w:rsidP="003A1FA3">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sidRPr="00844B8D">
              <w:rPr>
                <w:rFonts w:ascii="Arial" w:hAnsi="Arial" w:cs="Arial"/>
                <w:i/>
                <w:color w:val="404040"/>
                <w:sz w:val="20"/>
                <w:szCs w:val="20"/>
              </w:rPr>
              <w:t>$7.678.196.00</w:t>
            </w:r>
          </w:p>
        </w:tc>
        <w:tc>
          <w:tcPr>
            <w:tcW w:w="4001" w:type="dxa"/>
          </w:tcPr>
          <w:p w:rsidR="00844B8D" w:rsidRPr="00844B8D" w:rsidRDefault="00844B8D" w:rsidP="00844B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sidRPr="00844B8D">
              <w:rPr>
                <w:rFonts w:ascii="Arial" w:hAnsi="Arial" w:cs="Arial"/>
                <w:i/>
                <w:color w:val="404040"/>
                <w:sz w:val="20"/>
                <w:szCs w:val="20"/>
              </w:rPr>
              <w:t>La diferencia corresponde al pago de las incapacidades de los siguientes servidores: Arango Olga $112.770, Luz Stella Patiño $226.583</w:t>
            </w:r>
            <w:r w:rsidR="006C5E70">
              <w:rPr>
                <w:rFonts w:ascii="Arial" w:hAnsi="Arial" w:cs="Arial"/>
                <w:i/>
                <w:color w:val="404040"/>
                <w:sz w:val="20"/>
                <w:szCs w:val="20"/>
              </w:rPr>
              <w:t>,</w:t>
            </w:r>
            <w:r w:rsidRPr="00844B8D">
              <w:rPr>
                <w:rFonts w:ascii="Arial" w:hAnsi="Arial" w:cs="Arial"/>
                <w:i/>
                <w:color w:val="404040"/>
                <w:sz w:val="20"/>
                <w:szCs w:val="20"/>
              </w:rPr>
              <w:t xml:space="preserve"> Maia Borja $2.967.583, Edgar Castro $63.001, Yurianni Bállen $447.741, Yenny Herrera $104.712, Nestor Maldonado $338.309, Oswaldo Galeano $3.353.678; los cuales se encuentran pendientes de reintegrar por parte de la pagaduría.</w:t>
            </w:r>
          </w:p>
        </w:tc>
      </w:tr>
      <w:tr w:rsidR="00844B8D" w:rsidTr="006E1EB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vMerge/>
          </w:tcPr>
          <w:p w:rsidR="00844B8D" w:rsidRPr="00844B8D" w:rsidRDefault="00844B8D" w:rsidP="00135A28">
            <w:pPr>
              <w:autoSpaceDE w:val="0"/>
              <w:autoSpaceDN w:val="0"/>
              <w:adjustRightInd w:val="0"/>
              <w:jc w:val="both"/>
              <w:rPr>
                <w:rFonts w:ascii="Arial" w:hAnsi="Arial" w:cs="Arial"/>
                <w:i/>
                <w:color w:val="404040"/>
                <w:sz w:val="20"/>
                <w:szCs w:val="20"/>
              </w:rPr>
            </w:pPr>
          </w:p>
        </w:tc>
        <w:tc>
          <w:tcPr>
            <w:tcW w:w="2693" w:type="dxa"/>
          </w:tcPr>
          <w:p w:rsidR="00844B8D" w:rsidRDefault="00844B8D" w:rsidP="00844B8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p>
          <w:p w:rsidR="00844B8D" w:rsidRPr="00844B8D" w:rsidRDefault="00844B8D" w:rsidP="00844B8D">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sidRPr="00844B8D">
              <w:rPr>
                <w:rFonts w:ascii="Arial" w:hAnsi="Arial" w:cs="Arial"/>
                <w:i/>
                <w:color w:val="404040"/>
                <w:sz w:val="20"/>
                <w:szCs w:val="20"/>
              </w:rPr>
              <w:t>$78.048.00</w:t>
            </w:r>
          </w:p>
        </w:tc>
        <w:tc>
          <w:tcPr>
            <w:tcW w:w="4001" w:type="dxa"/>
          </w:tcPr>
          <w:p w:rsidR="00844B8D" w:rsidRPr="00844B8D" w:rsidRDefault="00844B8D" w:rsidP="00844B8D">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Arial" w:hAnsi="Arial" w:cs="Arial"/>
                <w:i/>
                <w:color w:val="404040"/>
                <w:sz w:val="20"/>
                <w:szCs w:val="20"/>
              </w:rPr>
            </w:pPr>
            <w:r w:rsidRPr="00844B8D">
              <w:rPr>
                <w:rFonts w:ascii="Arial" w:hAnsi="Arial" w:cs="Arial"/>
                <w:i/>
                <w:color w:val="404040"/>
                <w:sz w:val="20"/>
                <w:szCs w:val="20"/>
              </w:rPr>
              <w:t>La diferencia corresponde a  la incapacidad de Camila Rendón, pendiente por reintegrar por parte de la pagaduría.</w:t>
            </w:r>
          </w:p>
        </w:tc>
      </w:tr>
      <w:tr w:rsidR="00844B8D" w:rsidRPr="00844B8D" w:rsidTr="006E1EB0">
        <w:trPr>
          <w:trHeight w:val="843"/>
        </w:trPr>
        <w:tc>
          <w:tcPr>
            <w:cnfStyle w:val="001000000000" w:firstRow="0" w:lastRow="0" w:firstColumn="1" w:lastColumn="0" w:oddVBand="0" w:evenVBand="0" w:oddHBand="0" w:evenHBand="0" w:firstRowFirstColumn="0" w:firstRowLastColumn="0" w:lastRowFirstColumn="0" w:lastRowLastColumn="0"/>
            <w:tcW w:w="2410" w:type="dxa"/>
          </w:tcPr>
          <w:p w:rsidR="00844B8D" w:rsidRPr="00844B8D" w:rsidRDefault="00844B8D" w:rsidP="00135A28">
            <w:pPr>
              <w:autoSpaceDE w:val="0"/>
              <w:autoSpaceDN w:val="0"/>
              <w:adjustRightInd w:val="0"/>
              <w:jc w:val="both"/>
              <w:rPr>
                <w:rFonts w:ascii="Arial" w:hAnsi="Arial" w:cs="Arial"/>
                <w:i/>
                <w:color w:val="404040"/>
                <w:sz w:val="20"/>
                <w:szCs w:val="20"/>
              </w:rPr>
            </w:pPr>
          </w:p>
          <w:p w:rsidR="00844B8D" w:rsidRPr="00844B8D" w:rsidRDefault="00844B8D" w:rsidP="00135A28">
            <w:pPr>
              <w:autoSpaceDE w:val="0"/>
              <w:autoSpaceDN w:val="0"/>
              <w:adjustRightInd w:val="0"/>
              <w:jc w:val="both"/>
              <w:rPr>
                <w:rFonts w:ascii="Arial" w:hAnsi="Arial" w:cs="Arial"/>
                <w:i/>
                <w:color w:val="404040"/>
                <w:sz w:val="20"/>
                <w:szCs w:val="20"/>
              </w:rPr>
            </w:pPr>
            <w:r w:rsidRPr="00844B8D">
              <w:rPr>
                <w:rFonts w:ascii="Arial" w:hAnsi="Arial" w:cs="Arial"/>
                <w:i/>
                <w:color w:val="404040"/>
                <w:sz w:val="20"/>
                <w:szCs w:val="20"/>
              </w:rPr>
              <w:t>Control</w:t>
            </w:r>
            <w:r w:rsidR="000510E4">
              <w:rPr>
                <w:rFonts w:ascii="Arial" w:hAnsi="Arial" w:cs="Arial"/>
                <w:i/>
                <w:color w:val="404040"/>
                <w:sz w:val="20"/>
                <w:szCs w:val="20"/>
              </w:rPr>
              <w:t xml:space="preserve"> </w:t>
            </w:r>
            <w:r w:rsidRPr="00844B8D">
              <w:rPr>
                <w:rFonts w:ascii="Arial" w:hAnsi="Arial" w:cs="Arial"/>
                <w:i/>
                <w:color w:val="404040"/>
                <w:sz w:val="20"/>
                <w:szCs w:val="20"/>
              </w:rPr>
              <w:t>Interno Disciplinario</w:t>
            </w:r>
          </w:p>
          <w:p w:rsidR="00844B8D" w:rsidRPr="00844B8D" w:rsidRDefault="00844B8D" w:rsidP="00135A28">
            <w:pPr>
              <w:autoSpaceDE w:val="0"/>
              <w:autoSpaceDN w:val="0"/>
              <w:adjustRightInd w:val="0"/>
              <w:jc w:val="both"/>
              <w:rPr>
                <w:rFonts w:ascii="Arial" w:hAnsi="Arial" w:cs="Arial"/>
                <w:i/>
                <w:color w:val="404040"/>
                <w:sz w:val="20"/>
                <w:szCs w:val="20"/>
              </w:rPr>
            </w:pPr>
          </w:p>
        </w:tc>
        <w:tc>
          <w:tcPr>
            <w:tcW w:w="2693" w:type="dxa"/>
          </w:tcPr>
          <w:p w:rsidR="00844B8D" w:rsidRPr="00844B8D" w:rsidRDefault="00844B8D" w:rsidP="00844B8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p>
          <w:p w:rsidR="00844B8D" w:rsidRPr="00844B8D" w:rsidRDefault="00844B8D" w:rsidP="00844B8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p>
          <w:p w:rsidR="00844B8D" w:rsidRPr="00844B8D" w:rsidRDefault="00844B8D" w:rsidP="00844B8D">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sidRPr="00844B8D">
              <w:rPr>
                <w:rFonts w:ascii="Arial" w:hAnsi="Arial" w:cs="Arial"/>
                <w:i/>
                <w:color w:val="404040"/>
                <w:sz w:val="20"/>
                <w:szCs w:val="20"/>
              </w:rPr>
              <w:t>0.00</w:t>
            </w:r>
          </w:p>
        </w:tc>
        <w:tc>
          <w:tcPr>
            <w:tcW w:w="4001" w:type="dxa"/>
          </w:tcPr>
          <w:p w:rsidR="00844B8D" w:rsidRPr="00844B8D" w:rsidRDefault="006C5E70" w:rsidP="00844B8D">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ascii="Arial" w:hAnsi="Arial" w:cs="Arial"/>
                <w:i/>
                <w:color w:val="404040"/>
                <w:sz w:val="20"/>
                <w:szCs w:val="20"/>
              </w:rPr>
            </w:pPr>
            <w:r w:rsidRPr="006C5E70">
              <w:rPr>
                <w:rFonts w:ascii="Arial" w:hAnsi="Arial" w:cs="Arial"/>
                <w:i/>
                <w:color w:val="404040"/>
                <w:sz w:val="20"/>
                <w:szCs w:val="20"/>
              </w:rPr>
              <w:t>N/A</w:t>
            </w:r>
          </w:p>
        </w:tc>
      </w:tr>
    </w:tbl>
    <w:p w:rsidR="00873B9F" w:rsidRDefault="00BF1F3A" w:rsidP="00844B8D">
      <w:pPr>
        <w:pStyle w:val="Sinespaciado"/>
        <w:rPr>
          <w:rFonts w:ascii="Arial" w:hAnsi="Arial" w:cs="Arial"/>
          <w:i/>
          <w:sz w:val="14"/>
          <w:szCs w:val="14"/>
          <w:lang w:val="es-ES"/>
        </w:rPr>
      </w:pPr>
      <w:r>
        <w:rPr>
          <w:rFonts w:ascii="Arial" w:hAnsi="Arial" w:cs="Arial"/>
          <w:i/>
          <w:sz w:val="14"/>
          <w:szCs w:val="14"/>
          <w:lang w:val="es-ES"/>
        </w:rPr>
        <w:t xml:space="preserve">   </w:t>
      </w:r>
      <w:r w:rsidR="00844B8D" w:rsidRPr="006C5E70">
        <w:rPr>
          <w:rFonts w:ascii="Arial" w:hAnsi="Arial" w:cs="Arial"/>
          <w:i/>
          <w:sz w:val="14"/>
          <w:szCs w:val="14"/>
          <w:lang w:val="es-ES"/>
        </w:rPr>
        <w:t>Fuente: Conciliaciones con áreas – octubre 2019</w:t>
      </w:r>
    </w:p>
    <w:p w:rsidR="006C5E70" w:rsidRPr="006C5E70" w:rsidRDefault="006C5E70" w:rsidP="00844B8D">
      <w:pPr>
        <w:pStyle w:val="Sinespaciado"/>
        <w:rPr>
          <w:rFonts w:ascii="Arial" w:hAnsi="Arial" w:cs="Arial"/>
          <w:i/>
          <w:sz w:val="14"/>
          <w:szCs w:val="14"/>
          <w:lang w:val="es-ES"/>
        </w:rPr>
      </w:pPr>
    </w:p>
    <w:tbl>
      <w:tblPr>
        <w:tblW w:w="0" w:type="auto"/>
        <w:tblBorders>
          <w:top w:val="nil"/>
          <w:left w:val="nil"/>
          <w:bottom w:val="nil"/>
          <w:right w:val="nil"/>
        </w:tblBorders>
        <w:tblLayout w:type="fixed"/>
        <w:tblLook w:val="0000" w:firstRow="0" w:lastRow="0" w:firstColumn="0" w:lastColumn="0" w:noHBand="0" w:noVBand="0"/>
      </w:tblPr>
      <w:tblGrid>
        <w:gridCol w:w="3194"/>
      </w:tblGrid>
      <w:tr w:rsidR="00463EE0" w:rsidRPr="00463EE0">
        <w:trPr>
          <w:trHeight w:val="162"/>
        </w:trPr>
        <w:tc>
          <w:tcPr>
            <w:tcW w:w="3194" w:type="dxa"/>
          </w:tcPr>
          <w:p w:rsidR="00463EE0" w:rsidRPr="00463EE0" w:rsidRDefault="00463EE0" w:rsidP="00463EE0">
            <w:pPr>
              <w:autoSpaceDE w:val="0"/>
              <w:autoSpaceDN w:val="0"/>
              <w:adjustRightInd w:val="0"/>
              <w:rPr>
                <w:rFonts w:ascii="Arial" w:hAnsi="Arial" w:cs="Arial"/>
                <w:color w:val="000000"/>
                <w:sz w:val="20"/>
                <w:szCs w:val="20"/>
              </w:rPr>
            </w:pPr>
          </w:p>
        </w:tc>
      </w:tr>
    </w:tbl>
    <w:p w:rsidR="00873B9F" w:rsidRDefault="000510E4" w:rsidP="000510E4">
      <w:pPr>
        <w:pStyle w:val="Prrafodelista"/>
        <w:numPr>
          <w:ilvl w:val="0"/>
          <w:numId w:val="19"/>
        </w:numPr>
        <w:autoSpaceDE w:val="0"/>
        <w:autoSpaceDN w:val="0"/>
        <w:adjustRightInd w:val="0"/>
        <w:jc w:val="both"/>
        <w:rPr>
          <w:rFonts w:ascii="Arial" w:hAnsi="Arial" w:cs="Arial"/>
          <w:b/>
          <w:color w:val="404040"/>
        </w:rPr>
      </w:pPr>
      <w:r w:rsidRPr="000510E4">
        <w:rPr>
          <w:rFonts w:ascii="Arial" w:hAnsi="Arial" w:cs="Arial"/>
          <w:b/>
          <w:color w:val="404040"/>
        </w:rPr>
        <w:t>Cuentas reciprocas</w:t>
      </w:r>
    </w:p>
    <w:p w:rsidR="00ED28C8" w:rsidRPr="00ED28C8" w:rsidRDefault="00ED28C8" w:rsidP="00380A29">
      <w:pPr>
        <w:autoSpaceDE w:val="0"/>
        <w:autoSpaceDN w:val="0"/>
        <w:adjustRightInd w:val="0"/>
        <w:jc w:val="both"/>
        <w:rPr>
          <w:rFonts w:ascii="Arial" w:hAnsi="Arial" w:cs="Arial"/>
          <w:color w:val="000000"/>
        </w:rPr>
      </w:pPr>
    </w:p>
    <w:p w:rsidR="00AC1E0B" w:rsidRPr="005D3C48" w:rsidRDefault="00ED28C8" w:rsidP="00380A29">
      <w:pPr>
        <w:autoSpaceDE w:val="0"/>
        <w:autoSpaceDN w:val="0"/>
        <w:adjustRightInd w:val="0"/>
        <w:jc w:val="both"/>
        <w:rPr>
          <w:rFonts w:ascii="Arial" w:hAnsi="Arial" w:cs="Arial"/>
          <w:color w:val="000000"/>
        </w:rPr>
      </w:pPr>
      <w:r>
        <w:rPr>
          <w:rFonts w:ascii="Arial" w:hAnsi="Arial" w:cs="Arial"/>
          <w:color w:val="000000"/>
        </w:rPr>
        <w:lastRenderedPageBreak/>
        <w:t>Corresponde a t</w:t>
      </w:r>
      <w:r w:rsidRPr="00ED28C8">
        <w:rPr>
          <w:rFonts w:ascii="Arial" w:hAnsi="Arial" w:cs="Arial"/>
          <w:color w:val="000000"/>
        </w:rPr>
        <w:t>ransacci</w:t>
      </w:r>
      <w:r w:rsidR="00AF7987">
        <w:rPr>
          <w:rFonts w:ascii="Arial" w:hAnsi="Arial" w:cs="Arial"/>
          <w:color w:val="000000"/>
        </w:rPr>
        <w:t>o</w:t>
      </w:r>
      <w:r w:rsidRPr="00ED28C8">
        <w:rPr>
          <w:rFonts w:ascii="Arial" w:hAnsi="Arial" w:cs="Arial"/>
          <w:color w:val="000000"/>
        </w:rPr>
        <w:t>n</w:t>
      </w:r>
      <w:r w:rsidR="00AF7987">
        <w:rPr>
          <w:rFonts w:ascii="Arial" w:hAnsi="Arial" w:cs="Arial"/>
          <w:color w:val="000000"/>
        </w:rPr>
        <w:t>es</w:t>
      </w:r>
      <w:r w:rsidRPr="00ED28C8">
        <w:rPr>
          <w:rFonts w:ascii="Arial" w:hAnsi="Arial" w:cs="Arial"/>
          <w:color w:val="000000"/>
        </w:rPr>
        <w:t xml:space="preserve"> financiera</w:t>
      </w:r>
      <w:r w:rsidR="00AF7987">
        <w:rPr>
          <w:rFonts w:ascii="Arial" w:hAnsi="Arial" w:cs="Arial"/>
          <w:color w:val="000000"/>
        </w:rPr>
        <w:t>s</w:t>
      </w:r>
      <w:r w:rsidRPr="00ED28C8">
        <w:rPr>
          <w:rFonts w:ascii="Arial" w:hAnsi="Arial" w:cs="Arial"/>
          <w:color w:val="000000"/>
        </w:rPr>
        <w:t xml:space="preserve"> realizada</w:t>
      </w:r>
      <w:r w:rsidR="00AF7987">
        <w:rPr>
          <w:rFonts w:ascii="Arial" w:hAnsi="Arial" w:cs="Arial"/>
          <w:color w:val="000000"/>
        </w:rPr>
        <w:t>s</w:t>
      </w:r>
      <w:r w:rsidRPr="00ED28C8">
        <w:rPr>
          <w:rFonts w:ascii="Arial" w:hAnsi="Arial" w:cs="Arial"/>
          <w:color w:val="000000"/>
        </w:rPr>
        <w:t xml:space="preserve"> entre diferentes entes públicos por conceptos que pueden estar asociados </w:t>
      </w:r>
      <w:r w:rsidR="00AF7987">
        <w:rPr>
          <w:rFonts w:ascii="Arial" w:hAnsi="Arial" w:cs="Arial"/>
          <w:color w:val="000000"/>
        </w:rPr>
        <w:t>c</w:t>
      </w:r>
      <w:r w:rsidRPr="00ED28C8">
        <w:rPr>
          <w:rFonts w:ascii="Arial" w:hAnsi="Arial" w:cs="Arial"/>
          <w:color w:val="000000"/>
        </w:rPr>
        <w:t>on activos, pasivos, patrimonio, ingresos, gastos o costos, cualquiera sea el nivel y sector al que pertenezcan.</w:t>
      </w:r>
      <w:r w:rsidR="00AF7987">
        <w:rPr>
          <w:rFonts w:ascii="Arial" w:hAnsi="Arial" w:cs="Arial"/>
          <w:color w:val="000000"/>
        </w:rPr>
        <w:t xml:space="preserve"> La Función Pública al mes de octubre reporta cuentas reciprocas con las siguientes entidades: ESAP, DIAN, TESORO </w:t>
      </w:r>
      <w:r w:rsidR="00AF7987" w:rsidRPr="005D3C48">
        <w:rPr>
          <w:rFonts w:ascii="Arial" w:hAnsi="Arial" w:cs="Arial"/>
          <w:color w:val="000000"/>
        </w:rPr>
        <w:t>NACIONAL</w:t>
      </w:r>
      <w:r w:rsidR="004C7F90">
        <w:rPr>
          <w:rFonts w:ascii="Arial" w:hAnsi="Arial" w:cs="Arial"/>
          <w:color w:val="000000"/>
        </w:rPr>
        <w:t xml:space="preserve"> </w:t>
      </w:r>
      <w:r w:rsidR="005D3C48" w:rsidRPr="005D3C48">
        <w:rPr>
          <w:rFonts w:ascii="Arial" w:hAnsi="Arial" w:cs="Arial"/>
          <w:color w:val="000000"/>
        </w:rPr>
        <w:t>y el</w:t>
      </w:r>
      <w:r w:rsidR="00AF7987" w:rsidRPr="005D3C48">
        <w:rPr>
          <w:rFonts w:ascii="Arial" w:hAnsi="Arial" w:cs="Arial"/>
          <w:color w:val="000000"/>
        </w:rPr>
        <w:t xml:space="preserve"> ICBF.</w:t>
      </w:r>
    </w:p>
    <w:p w:rsidR="00F44077" w:rsidRDefault="00F44077" w:rsidP="00380A29">
      <w:pPr>
        <w:autoSpaceDE w:val="0"/>
        <w:autoSpaceDN w:val="0"/>
        <w:adjustRightInd w:val="0"/>
        <w:jc w:val="both"/>
        <w:rPr>
          <w:rFonts w:ascii="Arial" w:hAnsi="Arial" w:cs="Arial"/>
          <w:color w:val="FF0000"/>
        </w:rPr>
      </w:pPr>
    </w:p>
    <w:p w:rsidR="00F44077" w:rsidRDefault="00F44077" w:rsidP="00380A29">
      <w:pPr>
        <w:autoSpaceDE w:val="0"/>
        <w:autoSpaceDN w:val="0"/>
        <w:adjustRightInd w:val="0"/>
        <w:jc w:val="both"/>
        <w:rPr>
          <w:rFonts w:ascii="Arial" w:hAnsi="Arial" w:cs="Arial"/>
          <w:color w:val="000000"/>
        </w:rPr>
      </w:pPr>
      <w:r w:rsidRPr="005D3C48">
        <w:rPr>
          <w:rFonts w:ascii="Arial" w:hAnsi="Arial" w:cs="Arial"/>
          <w:color w:val="000000"/>
        </w:rPr>
        <w:t xml:space="preserve">Es de anotar que en el reporte de la Contaduría General de la Nación (entidades que registran partidas conciliatorias – julio – septiembre), se observan  las siguientes partidas conciliatorias por concepto de </w:t>
      </w:r>
      <w:r w:rsidRPr="005D3C48">
        <w:rPr>
          <w:rFonts w:ascii="Arial" w:hAnsi="Arial" w:cs="Arial"/>
          <w:i/>
          <w:color w:val="000000"/>
        </w:rPr>
        <w:t>Intereses moratorios</w:t>
      </w:r>
      <w:r w:rsidRPr="005D3C48">
        <w:rPr>
          <w:rFonts w:ascii="Arial" w:hAnsi="Arial" w:cs="Arial"/>
          <w:color w:val="000000"/>
        </w:rPr>
        <w:t>: ICBF por valor de $19.200, Empresa de Telecomunicaciones de Bogotá  por valor de $7.478 y Ministerio de Educación por $</w:t>
      </w:r>
      <w:r w:rsidR="005D3C48" w:rsidRPr="005D3C48">
        <w:rPr>
          <w:rFonts w:ascii="Arial" w:hAnsi="Arial" w:cs="Arial"/>
          <w:color w:val="000000"/>
        </w:rPr>
        <w:t xml:space="preserve">6.500; estos valores fueron cancelados en el mes de septiembre por lo que el Grupo de Gestión Financiera se encuentra adelantando la gestión pertinente con el Grupo de Gestión Humana, para </w:t>
      </w:r>
      <w:r w:rsidR="005D3C48">
        <w:rPr>
          <w:rFonts w:ascii="Arial" w:hAnsi="Arial" w:cs="Arial"/>
          <w:color w:val="000000"/>
        </w:rPr>
        <w:t>establecer la razón de estos pagos y la forma como se recuperaran dichos valores.</w:t>
      </w:r>
      <w:r w:rsidR="005D3C48" w:rsidRPr="005D3C48">
        <w:rPr>
          <w:rFonts w:ascii="Arial" w:hAnsi="Arial" w:cs="Arial"/>
          <w:color w:val="000000"/>
        </w:rPr>
        <w:t xml:space="preserve"> </w:t>
      </w:r>
      <w:r w:rsidRPr="005D3C48">
        <w:rPr>
          <w:rFonts w:ascii="Arial" w:hAnsi="Arial" w:cs="Arial"/>
          <w:color w:val="000000"/>
        </w:rPr>
        <w:t xml:space="preserve"> </w:t>
      </w:r>
    </w:p>
    <w:p w:rsidR="00DF757A" w:rsidRPr="005D3C48" w:rsidRDefault="00DF757A" w:rsidP="00380A29">
      <w:pPr>
        <w:autoSpaceDE w:val="0"/>
        <w:autoSpaceDN w:val="0"/>
        <w:adjustRightInd w:val="0"/>
        <w:jc w:val="both"/>
        <w:rPr>
          <w:rFonts w:ascii="Arial" w:hAnsi="Arial" w:cs="Arial"/>
          <w:color w:val="000000"/>
        </w:rPr>
      </w:pPr>
    </w:p>
    <w:p w:rsidR="00AC1E0B" w:rsidRPr="00AC1E0B" w:rsidRDefault="00C80D2D" w:rsidP="00AC1E0B">
      <w:pPr>
        <w:pStyle w:val="Prrafodelista"/>
        <w:numPr>
          <w:ilvl w:val="0"/>
          <w:numId w:val="19"/>
        </w:numPr>
        <w:autoSpaceDE w:val="0"/>
        <w:autoSpaceDN w:val="0"/>
        <w:adjustRightInd w:val="0"/>
        <w:jc w:val="both"/>
        <w:rPr>
          <w:rFonts w:ascii="Arial" w:hAnsi="Arial" w:cs="Arial"/>
          <w:b/>
          <w:color w:val="404040"/>
        </w:rPr>
      </w:pPr>
      <w:r w:rsidRPr="00C80D2D">
        <w:rPr>
          <w:rFonts w:ascii="Arial" w:hAnsi="Arial" w:cs="Arial"/>
          <w:b/>
          <w:color w:val="404040"/>
        </w:rPr>
        <w:t>Comité Técnico de Sostenibilidad del Sistema de Contabilidad Pública</w:t>
      </w:r>
    </w:p>
    <w:p w:rsidR="00380A29" w:rsidRDefault="00380A29" w:rsidP="00380A29">
      <w:pPr>
        <w:autoSpaceDE w:val="0"/>
        <w:autoSpaceDN w:val="0"/>
        <w:adjustRightInd w:val="0"/>
        <w:jc w:val="both"/>
        <w:rPr>
          <w:rFonts w:ascii="Arial" w:hAnsi="Arial" w:cs="Arial"/>
          <w:b/>
          <w:color w:val="404040"/>
        </w:rPr>
      </w:pPr>
    </w:p>
    <w:p w:rsidR="00C80D2D" w:rsidRDefault="00C80D2D" w:rsidP="00C80D2D">
      <w:pPr>
        <w:pStyle w:val="Default"/>
        <w:jc w:val="both"/>
        <w:rPr>
          <w:sz w:val="22"/>
          <w:szCs w:val="22"/>
        </w:rPr>
      </w:pPr>
      <w:r>
        <w:rPr>
          <w:sz w:val="22"/>
          <w:szCs w:val="22"/>
        </w:rPr>
        <w:t xml:space="preserve">La Función Pública mediante Resolución </w:t>
      </w:r>
      <w:r w:rsidR="004C7F90">
        <w:rPr>
          <w:sz w:val="22"/>
          <w:szCs w:val="22"/>
        </w:rPr>
        <w:t xml:space="preserve">No. </w:t>
      </w:r>
      <w:r>
        <w:rPr>
          <w:sz w:val="22"/>
          <w:szCs w:val="22"/>
        </w:rPr>
        <w:t xml:space="preserve">077 del 11 de febrero de 2015, modificada según Resolución </w:t>
      </w:r>
      <w:r w:rsidR="004C7F90">
        <w:rPr>
          <w:sz w:val="22"/>
          <w:szCs w:val="22"/>
        </w:rPr>
        <w:t xml:space="preserve">No. </w:t>
      </w:r>
      <w:r>
        <w:rPr>
          <w:sz w:val="22"/>
          <w:szCs w:val="22"/>
        </w:rPr>
        <w:t xml:space="preserve">092 del 19 de febrero de 2016, creó el </w:t>
      </w:r>
      <w:r>
        <w:rPr>
          <w:i/>
          <w:iCs/>
          <w:sz w:val="22"/>
          <w:szCs w:val="22"/>
        </w:rPr>
        <w:t xml:space="preserve">Comité Técnico de Sostenibilidad del Sistema de Contabilidad Pública, </w:t>
      </w:r>
      <w:r>
        <w:rPr>
          <w:sz w:val="22"/>
          <w:szCs w:val="22"/>
        </w:rPr>
        <w:t xml:space="preserve">con el objetivo de garantizar la razonabilidad de la información financiera, económica y social, teniendo como propósito garantizar la presentación de información real y oportuna y de contribuir a la cultura del autocontrol en los procesos y procedimientos financieros en la Entidad. </w:t>
      </w:r>
    </w:p>
    <w:p w:rsidR="004C7F90" w:rsidRDefault="004C7F90" w:rsidP="00C80D2D">
      <w:pPr>
        <w:pStyle w:val="Default"/>
        <w:jc w:val="both"/>
        <w:rPr>
          <w:sz w:val="22"/>
          <w:szCs w:val="22"/>
        </w:rPr>
      </w:pPr>
    </w:p>
    <w:p w:rsidR="00C80D2D" w:rsidRDefault="00C80D2D" w:rsidP="00C80D2D">
      <w:pPr>
        <w:autoSpaceDE w:val="0"/>
        <w:autoSpaceDN w:val="0"/>
        <w:adjustRightInd w:val="0"/>
        <w:jc w:val="both"/>
        <w:rPr>
          <w:rFonts w:ascii="Arial" w:hAnsi="Arial" w:cs="Arial"/>
          <w:color w:val="000000"/>
        </w:rPr>
      </w:pPr>
      <w:r w:rsidRPr="00C80D2D">
        <w:rPr>
          <w:rFonts w:ascii="Arial" w:hAnsi="Arial" w:cs="Arial"/>
          <w:color w:val="000000"/>
        </w:rPr>
        <w:t>Por medio de este comité se adelantan las gestiones administrativas necesarias para depurar las cifras y demás datos contenidos en los estados, informes y reportes contables, para garantizar que estos cumplan las característ</w:t>
      </w:r>
      <w:r>
        <w:rPr>
          <w:rFonts w:ascii="Arial" w:hAnsi="Arial" w:cs="Arial"/>
          <w:color w:val="000000"/>
        </w:rPr>
        <w:t xml:space="preserve">icas de la información contable. </w:t>
      </w:r>
    </w:p>
    <w:p w:rsidR="00C80D2D" w:rsidRDefault="00C80D2D" w:rsidP="00C80D2D">
      <w:pPr>
        <w:autoSpaceDE w:val="0"/>
        <w:autoSpaceDN w:val="0"/>
        <w:adjustRightInd w:val="0"/>
        <w:jc w:val="both"/>
        <w:rPr>
          <w:rFonts w:ascii="Arial" w:hAnsi="Arial" w:cs="Arial"/>
          <w:color w:val="000000"/>
        </w:rPr>
      </w:pPr>
    </w:p>
    <w:p w:rsidR="00C80D2D" w:rsidRDefault="00C80D2D" w:rsidP="00C80D2D">
      <w:pPr>
        <w:autoSpaceDE w:val="0"/>
        <w:autoSpaceDN w:val="0"/>
        <w:adjustRightInd w:val="0"/>
        <w:jc w:val="both"/>
        <w:rPr>
          <w:rFonts w:ascii="Arial" w:hAnsi="Arial" w:cs="Arial"/>
          <w:color w:val="000000"/>
        </w:rPr>
      </w:pPr>
      <w:r>
        <w:rPr>
          <w:rFonts w:ascii="Arial" w:hAnsi="Arial" w:cs="Arial"/>
          <w:color w:val="000000"/>
        </w:rPr>
        <w:t xml:space="preserve">A continuación se describe el seguimiento a los temas tratados durante la vigencia en el Comité </w:t>
      </w:r>
      <w:r w:rsidRPr="00C80D2D">
        <w:rPr>
          <w:rFonts w:ascii="Arial" w:hAnsi="Arial" w:cs="Arial"/>
          <w:color w:val="000000"/>
        </w:rPr>
        <w:t>Técnico de Sostenibilidad del Sistem</w:t>
      </w:r>
      <w:r w:rsidR="00171655">
        <w:rPr>
          <w:rFonts w:ascii="Arial" w:hAnsi="Arial" w:cs="Arial"/>
          <w:color w:val="000000"/>
        </w:rPr>
        <w:t>a de Contabilidad Pública:</w:t>
      </w:r>
    </w:p>
    <w:p w:rsidR="00171655" w:rsidRDefault="00171655" w:rsidP="00C80D2D">
      <w:pPr>
        <w:autoSpaceDE w:val="0"/>
        <w:autoSpaceDN w:val="0"/>
        <w:adjustRightInd w:val="0"/>
        <w:jc w:val="both"/>
        <w:rPr>
          <w:rFonts w:ascii="Arial" w:hAnsi="Arial" w:cs="Arial"/>
          <w:color w:val="000000"/>
        </w:rPr>
      </w:pPr>
    </w:p>
    <w:p w:rsidR="00171655" w:rsidRDefault="00171655" w:rsidP="00C80D2D">
      <w:pPr>
        <w:autoSpaceDE w:val="0"/>
        <w:autoSpaceDN w:val="0"/>
        <w:adjustRightInd w:val="0"/>
        <w:jc w:val="both"/>
        <w:rPr>
          <w:rFonts w:ascii="Arial" w:hAnsi="Arial" w:cs="Arial"/>
          <w:color w:val="000000"/>
        </w:rPr>
      </w:pPr>
      <w:r>
        <w:rPr>
          <w:rFonts w:ascii="Arial" w:hAnsi="Arial" w:cs="Arial"/>
          <w:color w:val="000000"/>
        </w:rPr>
        <w:t xml:space="preserve">Acta </w:t>
      </w:r>
      <w:r w:rsidR="004C7F90">
        <w:rPr>
          <w:rFonts w:ascii="Arial" w:hAnsi="Arial" w:cs="Arial"/>
          <w:color w:val="000000"/>
        </w:rPr>
        <w:t xml:space="preserve">No. </w:t>
      </w:r>
      <w:r>
        <w:rPr>
          <w:rFonts w:ascii="Arial" w:hAnsi="Arial" w:cs="Arial"/>
          <w:color w:val="000000"/>
        </w:rPr>
        <w:t xml:space="preserve">001 del 21-03-2019: </w:t>
      </w:r>
      <w:r w:rsidR="007F6B75">
        <w:rPr>
          <w:rFonts w:ascii="Arial" w:hAnsi="Arial" w:cs="Arial"/>
          <w:color w:val="000000"/>
        </w:rPr>
        <w:t xml:space="preserve">Se llevó a cabo la depuración de las cuentas reciprocas de años anteriores, se explicó el procedimiento efectuado para el cálculo del umbral de materialidad y se autorizó la corrección y publicación </w:t>
      </w:r>
      <w:r w:rsidR="00BB2B8F">
        <w:rPr>
          <w:rFonts w:ascii="Arial" w:hAnsi="Arial" w:cs="Arial"/>
          <w:color w:val="000000"/>
        </w:rPr>
        <w:t>del estado de cambios al patrimonio de la vigencia 2018.</w:t>
      </w:r>
    </w:p>
    <w:p w:rsidR="00BB2B8F" w:rsidRDefault="00BB2B8F" w:rsidP="00C80D2D">
      <w:pPr>
        <w:autoSpaceDE w:val="0"/>
        <w:autoSpaceDN w:val="0"/>
        <w:adjustRightInd w:val="0"/>
        <w:jc w:val="both"/>
        <w:rPr>
          <w:rFonts w:ascii="Arial" w:hAnsi="Arial" w:cs="Arial"/>
          <w:color w:val="000000"/>
        </w:rPr>
      </w:pPr>
    </w:p>
    <w:p w:rsidR="00E471AD" w:rsidRDefault="00BB2B8F" w:rsidP="00C80D2D">
      <w:pPr>
        <w:autoSpaceDE w:val="0"/>
        <w:autoSpaceDN w:val="0"/>
        <w:adjustRightInd w:val="0"/>
        <w:jc w:val="both"/>
        <w:rPr>
          <w:rFonts w:ascii="Arial" w:hAnsi="Arial" w:cs="Arial"/>
          <w:color w:val="000000"/>
        </w:rPr>
      </w:pPr>
      <w:r>
        <w:rPr>
          <w:rFonts w:ascii="Arial" w:hAnsi="Arial" w:cs="Arial"/>
          <w:color w:val="000000"/>
        </w:rPr>
        <w:t xml:space="preserve">Acta </w:t>
      </w:r>
      <w:r w:rsidR="00FF0C90">
        <w:rPr>
          <w:rFonts w:ascii="Arial" w:hAnsi="Arial" w:cs="Arial"/>
          <w:color w:val="000000"/>
        </w:rPr>
        <w:t xml:space="preserve">No. </w:t>
      </w:r>
      <w:r>
        <w:rPr>
          <w:rFonts w:ascii="Arial" w:hAnsi="Arial" w:cs="Arial"/>
          <w:color w:val="000000"/>
        </w:rPr>
        <w:t xml:space="preserve">002 de 18-07-2019: En la reunión se trataron los siguientes temas: </w:t>
      </w:r>
    </w:p>
    <w:p w:rsidR="00E471AD" w:rsidRDefault="00E471AD" w:rsidP="00C80D2D">
      <w:pPr>
        <w:autoSpaceDE w:val="0"/>
        <w:autoSpaceDN w:val="0"/>
        <w:adjustRightInd w:val="0"/>
        <w:jc w:val="both"/>
        <w:rPr>
          <w:rFonts w:ascii="Arial" w:hAnsi="Arial" w:cs="Arial"/>
          <w:color w:val="000000"/>
        </w:rPr>
      </w:pPr>
    </w:p>
    <w:p w:rsidR="00BB2B8F" w:rsidRPr="002D7B81" w:rsidRDefault="00BB2B8F" w:rsidP="002D7B81">
      <w:pPr>
        <w:pStyle w:val="Prrafodelista"/>
        <w:numPr>
          <w:ilvl w:val="0"/>
          <w:numId w:val="30"/>
        </w:numPr>
        <w:autoSpaceDE w:val="0"/>
        <w:autoSpaceDN w:val="0"/>
        <w:adjustRightInd w:val="0"/>
        <w:jc w:val="both"/>
        <w:rPr>
          <w:rFonts w:ascii="Arial" w:hAnsi="Arial" w:cs="Arial"/>
          <w:color w:val="000000"/>
        </w:rPr>
      </w:pPr>
      <w:r w:rsidRPr="002D7B81">
        <w:rPr>
          <w:rFonts w:ascii="Arial" w:hAnsi="Arial" w:cs="Arial"/>
          <w:color w:val="000000"/>
        </w:rPr>
        <w:t xml:space="preserve">Manejo del convenio </w:t>
      </w:r>
      <w:r w:rsidR="00F460DA">
        <w:rPr>
          <w:rFonts w:ascii="Arial" w:hAnsi="Arial" w:cs="Arial"/>
          <w:color w:val="000000"/>
        </w:rPr>
        <w:t xml:space="preserve">con </w:t>
      </w:r>
      <w:r w:rsidRPr="002D7B81">
        <w:rPr>
          <w:rFonts w:ascii="Arial" w:hAnsi="Arial" w:cs="Arial"/>
          <w:color w:val="000000"/>
        </w:rPr>
        <w:t>la ESAP vigencia actual y vigencias 2017 y 2018</w:t>
      </w:r>
      <w:r w:rsidR="00E471AD" w:rsidRPr="002D7B81">
        <w:rPr>
          <w:rFonts w:ascii="Arial" w:hAnsi="Arial" w:cs="Arial"/>
          <w:color w:val="000000"/>
        </w:rPr>
        <w:t xml:space="preserve">: Se dejó como compromiso realizar la gestión pertinente para devolver los recursos de la vigencia 2017 a la ESAP; gestión que se pudo evidenciar. Igualmente por parte del Grupo de Gestión Financiera se han coordinado mesas de trabajo entre la ESAP, la Contaduría General de la Nación y Función Pública para </w:t>
      </w:r>
      <w:r w:rsidR="002D7B81" w:rsidRPr="002D7B81">
        <w:rPr>
          <w:rFonts w:ascii="Arial" w:hAnsi="Arial" w:cs="Arial"/>
          <w:color w:val="000000"/>
        </w:rPr>
        <w:t>aclarar el convenio.</w:t>
      </w:r>
    </w:p>
    <w:p w:rsidR="002D7B81" w:rsidRDefault="002D7B81" w:rsidP="00C80D2D">
      <w:pPr>
        <w:autoSpaceDE w:val="0"/>
        <w:autoSpaceDN w:val="0"/>
        <w:adjustRightInd w:val="0"/>
        <w:jc w:val="both"/>
        <w:rPr>
          <w:rFonts w:ascii="Arial" w:hAnsi="Arial" w:cs="Arial"/>
          <w:color w:val="000000"/>
        </w:rPr>
      </w:pPr>
    </w:p>
    <w:p w:rsidR="002D7B81" w:rsidRDefault="002D7B81" w:rsidP="002D7B81">
      <w:pPr>
        <w:pStyle w:val="Prrafodelista"/>
        <w:numPr>
          <w:ilvl w:val="0"/>
          <w:numId w:val="30"/>
        </w:numPr>
        <w:autoSpaceDE w:val="0"/>
        <w:autoSpaceDN w:val="0"/>
        <w:adjustRightInd w:val="0"/>
        <w:jc w:val="both"/>
        <w:rPr>
          <w:rFonts w:ascii="Arial" w:hAnsi="Arial" w:cs="Arial"/>
          <w:color w:val="000000"/>
        </w:rPr>
      </w:pPr>
      <w:r w:rsidRPr="002D7B81">
        <w:rPr>
          <w:rFonts w:ascii="Arial" w:hAnsi="Arial" w:cs="Arial"/>
          <w:color w:val="000000"/>
        </w:rPr>
        <w:t xml:space="preserve">Verificación de políticas y procedimientos para el recobro de incapacidades: </w:t>
      </w:r>
      <w:r>
        <w:rPr>
          <w:rFonts w:ascii="Arial" w:hAnsi="Arial" w:cs="Arial"/>
          <w:color w:val="000000"/>
        </w:rPr>
        <w:t xml:space="preserve">La </w:t>
      </w:r>
      <w:r w:rsidRPr="002D7B81">
        <w:rPr>
          <w:rFonts w:ascii="Arial" w:hAnsi="Arial" w:cs="Arial"/>
          <w:color w:val="000000"/>
        </w:rPr>
        <w:t xml:space="preserve"> Contadora de la Entidad </w:t>
      </w:r>
      <w:r>
        <w:rPr>
          <w:rFonts w:ascii="Arial" w:hAnsi="Arial" w:cs="Arial"/>
          <w:color w:val="000000"/>
        </w:rPr>
        <w:t xml:space="preserve">manifiesta que se han evidenciado pagos por parte de la EPS por mayores y menores valores, por lo que se hace necesario </w:t>
      </w:r>
      <w:r w:rsidR="00DA48C1">
        <w:rPr>
          <w:rFonts w:ascii="Arial" w:hAnsi="Arial" w:cs="Arial"/>
          <w:color w:val="000000"/>
        </w:rPr>
        <w:t xml:space="preserve">saber a qué se debe este comportamiento. Con el fin de subsanar esta situación se han llevado </w:t>
      </w:r>
      <w:r w:rsidR="00BB3EC4">
        <w:rPr>
          <w:rFonts w:ascii="Arial" w:hAnsi="Arial" w:cs="Arial"/>
          <w:color w:val="000000"/>
        </w:rPr>
        <w:t>a cabo</w:t>
      </w:r>
      <w:r w:rsidR="00DA48C1">
        <w:rPr>
          <w:rFonts w:ascii="Arial" w:hAnsi="Arial" w:cs="Arial"/>
          <w:color w:val="000000"/>
        </w:rPr>
        <w:t xml:space="preserve"> reuniones con el Ministerio de H</w:t>
      </w:r>
      <w:r w:rsidR="00BB3EC4">
        <w:rPr>
          <w:rFonts w:ascii="Arial" w:hAnsi="Arial" w:cs="Arial"/>
          <w:color w:val="000000"/>
        </w:rPr>
        <w:t>a</w:t>
      </w:r>
      <w:r w:rsidR="00DA48C1">
        <w:rPr>
          <w:rFonts w:ascii="Arial" w:hAnsi="Arial" w:cs="Arial"/>
          <w:color w:val="000000"/>
        </w:rPr>
        <w:t xml:space="preserve">cienda </w:t>
      </w:r>
      <w:r w:rsidR="00BB3EC4">
        <w:rPr>
          <w:rFonts w:ascii="Arial" w:hAnsi="Arial" w:cs="Arial"/>
          <w:color w:val="000000"/>
        </w:rPr>
        <w:t>y se ha oficiado a</w:t>
      </w:r>
      <w:r w:rsidR="00ED28C8">
        <w:rPr>
          <w:rFonts w:ascii="Arial" w:hAnsi="Arial" w:cs="Arial"/>
          <w:color w:val="000000"/>
        </w:rPr>
        <w:t xml:space="preserve"> </w:t>
      </w:r>
      <w:r w:rsidR="00BB3EC4">
        <w:rPr>
          <w:rFonts w:ascii="Arial" w:hAnsi="Arial" w:cs="Arial"/>
          <w:color w:val="000000"/>
        </w:rPr>
        <w:t>las EPS.</w:t>
      </w:r>
    </w:p>
    <w:p w:rsidR="00BB3EC4" w:rsidRPr="00BB3EC4" w:rsidRDefault="00BB3EC4" w:rsidP="00BB3EC4">
      <w:pPr>
        <w:pStyle w:val="Prrafodelista"/>
        <w:rPr>
          <w:rFonts w:ascii="Arial" w:hAnsi="Arial" w:cs="Arial"/>
          <w:color w:val="000000"/>
        </w:rPr>
      </w:pPr>
    </w:p>
    <w:p w:rsidR="00BB3EC4" w:rsidRDefault="00BB3EC4" w:rsidP="002D7B81">
      <w:pPr>
        <w:pStyle w:val="Prrafodelista"/>
        <w:numPr>
          <w:ilvl w:val="0"/>
          <w:numId w:val="30"/>
        </w:numPr>
        <w:autoSpaceDE w:val="0"/>
        <w:autoSpaceDN w:val="0"/>
        <w:adjustRightInd w:val="0"/>
        <w:jc w:val="both"/>
        <w:rPr>
          <w:rFonts w:ascii="Arial" w:hAnsi="Arial" w:cs="Arial"/>
          <w:color w:val="000000"/>
        </w:rPr>
      </w:pPr>
      <w:r>
        <w:rPr>
          <w:rFonts w:ascii="Arial" w:hAnsi="Arial" w:cs="Arial"/>
          <w:color w:val="000000"/>
        </w:rPr>
        <w:lastRenderedPageBreak/>
        <w:t>Aprobación registro contable ICETEX por depuración de saldos: Se analizó el tratamiento contable que le debe dar a la condonación de créditos y se registraron los rendimientos financieros pendientes.</w:t>
      </w:r>
    </w:p>
    <w:p w:rsidR="00BB3EC4" w:rsidRPr="00BB3EC4" w:rsidRDefault="00BB3EC4" w:rsidP="00BB3EC4">
      <w:pPr>
        <w:pStyle w:val="Prrafodelista"/>
        <w:rPr>
          <w:rFonts w:ascii="Arial" w:hAnsi="Arial" w:cs="Arial"/>
          <w:color w:val="000000"/>
        </w:rPr>
      </w:pPr>
    </w:p>
    <w:p w:rsidR="00BB3EC4" w:rsidRDefault="00BB3EC4" w:rsidP="002D7B81">
      <w:pPr>
        <w:pStyle w:val="Prrafodelista"/>
        <w:numPr>
          <w:ilvl w:val="0"/>
          <w:numId w:val="30"/>
        </w:numPr>
        <w:autoSpaceDE w:val="0"/>
        <w:autoSpaceDN w:val="0"/>
        <w:adjustRightInd w:val="0"/>
        <w:jc w:val="both"/>
        <w:rPr>
          <w:rFonts w:ascii="Arial" w:hAnsi="Arial" w:cs="Arial"/>
          <w:color w:val="000000"/>
        </w:rPr>
      </w:pPr>
      <w:r>
        <w:rPr>
          <w:rFonts w:ascii="Arial" w:hAnsi="Arial" w:cs="Arial"/>
          <w:color w:val="000000"/>
        </w:rPr>
        <w:t xml:space="preserve">Registro contable de operaciones reciprocas de vigencias anteriores: </w:t>
      </w:r>
      <w:r w:rsidR="00ED28C8">
        <w:rPr>
          <w:rFonts w:ascii="Arial" w:hAnsi="Arial" w:cs="Arial"/>
          <w:color w:val="000000"/>
        </w:rPr>
        <w:t>Se efectúan las gestiones pertinentes para depurar la cuenta 249013 de la DTN.</w:t>
      </w:r>
    </w:p>
    <w:p w:rsidR="00ED28C8" w:rsidRPr="00ED28C8" w:rsidRDefault="00ED28C8" w:rsidP="00ED28C8">
      <w:pPr>
        <w:pStyle w:val="Prrafodelista"/>
        <w:rPr>
          <w:rFonts w:ascii="Arial" w:hAnsi="Arial" w:cs="Arial"/>
          <w:color w:val="000000"/>
        </w:rPr>
      </w:pPr>
    </w:p>
    <w:p w:rsidR="0089173F" w:rsidRDefault="0089173F" w:rsidP="00F80C74">
      <w:pPr>
        <w:pStyle w:val="Prrafodelista"/>
        <w:numPr>
          <w:ilvl w:val="0"/>
          <w:numId w:val="19"/>
        </w:numPr>
        <w:autoSpaceDE w:val="0"/>
        <w:autoSpaceDN w:val="0"/>
        <w:adjustRightInd w:val="0"/>
        <w:jc w:val="both"/>
        <w:rPr>
          <w:rFonts w:ascii="Arial" w:hAnsi="Arial" w:cs="Arial"/>
          <w:color w:val="000000"/>
        </w:rPr>
      </w:pPr>
      <w:r>
        <w:rPr>
          <w:rFonts w:ascii="Arial" w:hAnsi="Arial" w:cs="Arial"/>
          <w:b/>
          <w:color w:val="404040"/>
        </w:rPr>
        <w:t>Riesgos del Proceso de Gestión Financiera</w:t>
      </w:r>
      <w:r w:rsidR="00A36BA9" w:rsidRPr="00A36BA9">
        <w:rPr>
          <w:rFonts w:ascii="Arial" w:hAnsi="Arial" w:cs="Arial"/>
          <w:color w:val="000000"/>
        </w:rPr>
        <w:t>: En el mes de septiembre se identificaron los siguientes riesgos:</w:t>
      </w:r>
    </w:p>
    <w:p w:rsidR="00A36BA9" w:rsidRDefault="00A36BA9" w:rsidP="00A36BA9">
      <w:pPr>
        <w:autoSpaceDE w:val="0"/>
        <w:autoSpaceDN w:val="0"/>
        <w:adjustRightInd w:val="0"/>
        <w:jc w:val="both"/>
        <w:rPr>
          <w:rFonts w:ascii="Arial" w:hAnsi="Arial" w:cs="Arial"/>
          <w:color w:val="000000"/>
        </w:rPr>
      </w:pPr>
    </w:p>
    <w:tbl>
      <w:tblPr>
        <w:tblStyle w:val="Sombreadomedio1-nfasis2"/>
        <w:tblW w:w="9072" w:type="dxa"/>
        <w:tblInd w:w="250" w:type="dxa"/>
        <w:tblLook w:val="04A0" w:firstRow="1" w:lastRow="0" w:firstColumn="1" w:lastColumn="0" w:noHBand="0" w:noVBand="1"/>
      </w:tblPr>
      <w:tblGrid>
        <w:gridCol w:w="2666"/>
        <w:gridCol w:w="3099"/>
        <w:gridCol w:w="3307"/>
      </w:tblGrid>
      <w:tr w:rsidR="0040018B" w:rsidTr="006253FE">
        <w:trPr>
          <w:cnfStyle w:val="100000000000" w:firstRow="1" w:lastRow="0" w:firstColumn="0" w:lastColumn="0" w:oddVBand="0" w:evenVBand="0" w:oddHBand="0"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2666" w:type="dxa"/>
          </w:tcPr>
          <w:p w:rsidR="00A36BA9" w:rsidRPr="0040018B" w:rsidRDefault="00A36BA9" w:rsidP="00A36BA9">
            <w:pPr>
              <w:pStyle w:val="Prrafodelista"/>
              <w:autoSpaceDE w:val="0"/>
              <w:autoSpaceDN w:val="0"/>
              <w:adjustRightInd w:val="0"/>
              <w:ind w:left="0"/>
              <w:jc w:val="center"/>
              <w:rPr>
                <w:rFonts w:ascii="Arial" w:hAnsi="Arial" w:cs="Arial"/>
                <w:sz w:val="20"/>
                <w:szCs w:val="20"/>
              </w:rPr>
            </w:pPr>
            <w:r w:rsidRPr="0040018B">
              <w:rPr>
                <w:rFonts w:ascii="Arial" w:hAnsi="Arial" w:cs="Arial"/>
                <w:sz w:val="20"/>
                <w:szCs w:val="20"/>
              </w:rPr>
              <w:t>Riesgo</w:t>
            </w:r>
          </w:p>
        </w:tc>
        <w:tc>
          <w:tcPr>
            <w:tcW w:w="3099" w:type="dxa"/>
          </w:tcPr>
          <w:p w:rsidR="00A36BA9" w:rsidRPr="0040018B" w:rsidRDefault="00A36BA9" w:rsidP="00A36BA9">
            <w:pPr>
              <w:pStyle w:val="Prrafodelista"/>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0018B">
              <w:rPr>
                <w:rFonts w:ascii="Arial" w:hAnsi="Arial" w:cs="Arial"/>
                <w:sz w:val="20"/>
                <w:szCs w:val="20"/>
              </w:rPr>
              <w:t>Tipo</w:t>
            </w:r>
          </w:p>
        </w:tc>
        <w:tc>
          <w:tcPr>
            <w:tcW w:w="3307" w:type="dxa"/>
          </w:tcPr>
          <w:p w:rsidR="00A36BA9" w:rsidRDefault="00A36BA9" w:rsidP="00A36BA9">
            <w:pPr>
              <w:pStyle w:val="Prrafodelista"/>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0018B">
              <w:rPr>
                <w:rFonts w:ascii="Arial" w:hAnsi="Arial" w:cs="Arial"/>
                <w:sz w:val="20"/>
                <w:szCs w:val="20"/>
              </w:rPr>
              <w:t>Causas</w:t>
            </w:r>
          </w:p>
          <w:p w:rsidR="0040018B" w:rsidRPr="0040018B" w:rsidRDefault="0040018B" w:rsidP="00A36BA9">
            <w:pPr>
              <w:pStyle w:val="Prrafodelista"/>
              <w:autoSpaceDE w:val="0"/>
              <w:autoSpaceDN w:val="0"/>
              <w:adjustRightInd w:val="0"/>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tc>
      </w:tr>
      <w:tr w:rsidR="0040018B" w:rsidTr="006253FE">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2666" w:type="dxa"/>
          </w:tcPr>
          <w:p w:rsidR="00A36BA9" w:rsidRPr="0040018B" w:rsidRDefault="00A36BA9" w:rsidP="0089173F">
            <w:pPr>
              <w:pStyle w:val="Prrafodelista"/>
              <w:autoSpaceDE w:val="0"/>
              <w:autoSpaceDN w:val="0"/>
              <w:adjustRightInd w:val="0"/>
              <w:ind w:left="0"/>
              <w:jc w:val="both"/>
              <w:rPr>
                <w:rFonts w:ascii="Arial" w:hAnsi="Arial" w:cs="Arial"/>
                <w:b w:val="0"/>
                <w:color w:val="000000"/>
                <w:sz w:val="20"/>
                <w:szCs w:val="20"/>
              </w:rPr>
            </w:pPr>
            <w:r w:rsidRPr="0040018B">
              <w:rPr>
                <w:rFonts w:ascii="Arial" w:hAnsi="Arial" w:cs="Arial"/>
                <w:b w:val="0"/>
                <w:color w:val="000000"/>
                <w:sz w:val="20"/>
                <w:szCs w:val="20"/>
              </w:rPr>
              <w:t>Destinación de recursos públicos de forma indebida en favor de un privado o tercero.</w:t>
            </w:r>
          </w:p>
        </w:tc>
        <w:tc>
          <w:tcPr>
            <w:tcW w:w="3099" w:type="dxa"/>
          </w:tcPr>
          <w:p w:rsidR="00042446" w:rsidRDefault="00042446" w:rsidP="0040018B">
            <w:pPr>
              <w:pStyle w:val="Prrafodelista"/>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rsidR="00A36BA9" w:rsidRPr="0040018B" w:rsidRDefault="00A36BA9" w:rsidP="0040018B">
            <w:pPr>
              <w:pStyle w:val="Prrafodelista"/>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Corrupción</w:t>
            </w:r>
          </w:p>
        </w:tc>
        <w:tc>
          <w:tcPr>
            <w:tcW w:w="3307" w:type="dxa"/>
          </w:tcPr>
          <w:p w:rsidR="00A36BA9" w:rsidRPr="0040018B" w:rsidRDefault="00A36BA9" w:rsidP="0089173F">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Desconocimiento o inadecuada aplicación de la normativa vigente, de lineamientos y procedimientos</w:t>
            </w:r>
          </w:p>
          <w:p w:rsidR="00A36BA9" w:rsidRPr="0040018B" w:rsidRDefault="00A36BA9" w:rsidP="0089173F">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Abuso de poder</w:t>
            </w:r>
          </w:p>
          <w:p w:rsidR="00A36BA9" w:rsidRPr="0040018B" w:rsidRDefault="00A36BA9" w:rsidP="00F44077">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Tráfico de influencias.</w:t>
            </w:r>
          </w:p>
        </w:tc>
      </w:tr>
      <w:tr w:rsidR="0040018B" w:rsidTr="006253FE">
        <w:trPr>
          <w:cnfStyle w:val="000000010000" w:firstRow="0" w:lastRow="0" w:firstColumn="0" w:lastColumn="0" w:oddVBand="0" w:evenVBand="0" w:oddHBand="0" w:evenHBand="1"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2666" w:type="dxa"/>
          </w:tcPr>
          <w:p w:rsidR="00A36BA9" w:rsidRPr="0040018B" w:rsidRDefault="00A36BA9" w:rsidP="0089173F">
            <w:pPr>
              <w:pStyle w:val="Prrafodelista"/>
              <w:autoSpaceDE w:val="0"/>
              <w:autoSpaceDN w:val="0"/>
              <w:adjustRightInd w:val="0"/>
              <w:ind w:left="0"/>
              <w:jc w:val="both"/>
              <w:rPr>
                <w:rFonts w:ascii="Arial" w:hAnsi="Arial" w:cs="Arial"/>
                <w:b w:val="0"/>
                <w:color w:val="000000"/>
                <w:sz w:val="20"/>
                <w:szCs w:val="20"/>
              </w:rPr>
            </w:pPr>
            <w:r w:rsidRPr="0040018B">
              <w:rPr>
                <w:rFonts w:ascii="Arial" w:hAnsi="Arial" w:cs="Arial"/>
                <w:b w:val="0"/>
                <w:color w:val="000000"/>
                <w:sz w:val="20"/>
                <w:szCs w:val="20"/>
              </w:rPr>
              <w:t>Incumplimiento de las metas Institucionales asociado a la gestión de recursos</w:t>
            </w:r>
          </w:p>
        </w:tc>
        <w:tc>
          <w:tcPr>
            <w:tcW w:w="3099" w:type="dxa"/>
          </w:tcPr>
          <w:p w:rsidR="00042446" w:rsidRDefault="00042446" w:rsidP="0040018B">
            <w:pPr>
              <w:pStyle w:val="Prrafodelista"/>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p w:rsidR="00042446" w:rsidRDefault="00042446" w:rsidP="0040018B">
            <w:pPr>
              <w:pStyle w:val="Prrafodelista"/>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p>
          <w:p w:rsidR="00A36BA9" w:rsidRPr="0040018B" w:rsidRDefault="00A36BA9" w:rsidP="0040018B">
            <w:pPr>
              <w:pStyle w:val="Prrafodelista"/>
              <w:autoSpaceDE w:val="0"/>
              <w:autoSpaceDN w:val="0"/>
              <w:adjustRightInd w:val="0"/>
              <w:ind w:left="0"/>
              <w:jc w:val="center"/>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Gestión</w:t>
            </w:r>
          </w:p>
        </w:tc>
        <w:tc>
          <w:tcPr>
            <w:tcW w:w="3307" w:type="dxa"/>
          </w:tcPr>
          <w:p w:rsidR="00A36BA9" w:rsidRPr="0040018B" w:rsidRDefault="00A36BA9" w:rsidP="0089173F">
            <w:pPr>
              <w:pStyle w:val="Prrafodelista"/>
              <w:autoSpaceDE w:val="0"/>
              <w:autoSpaceDN w:val="0"/>
              <w:adjustRightInd w:val="0"/>
              <w:ind w:left="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Desconocimiento normativo</w:t>
            </w:r>
          </w:p>
          <w:p w:rsidR="00A36BA9" w:rsidRPr="0040018B" w:rsidRDefault="00A36BA9" w:rsidP="0089173F">
            <w:pPr>
              <w:pStyle w:val="Prrafodelista"/>
              <w:autoSpaceDE w:val="0"/>
              <w:autoSpaceDN w:val="0"/>
              <w:adjustRightInd w:val="0"/>
              <w:ind w:left="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Falta de aplicación de los procedimientos asociados al proceso</w:t>
            </w:r>
          </w:p>
          <w:p w:rsidR="00A36BA9" w:rsidRPr="0040018B" w:rsidRDefault="00A36BA9" w:rsidP="0040018B">
            <w:pPr>
              <w:pStyle w:val="Prrafodelista"/>
              <w:autoSpaceDE w:val="0"/>
              <w:autoSpaceDN w:val="0"/>
              <w:adjustRightInd w:val="0"/>
              <w:ind w:left="0"/>
              <w:jc w:val="both"/>
              <w:cnfStyle w:val="000000010000" w:firstRow="0" w:lastRow="0" w:firstColumn="0" w:lastColumn="0" w:oddVBand="0" w:evenVBand="0" w:oddHBand="0" w:evenHBand="1"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Inoportunidad en la gestión contractual financiera y administrativa</w:t>
            </w:r>
          </w:p>
        </w:tc>
      </w:tr>
      <w:tr w:rsidR="0040018B" w:rsidTr="006253FE">
        <w:trPr>
          <w:cnfStyle w:val="000000100000" w:firstRow="0" w:lastRow="0" w:firstColumn="0" w:lastColumn="0" w:oddVBand="0" w:evenVBand="0" w:oddHBand="1" w:evenHBand="0" w:firstRowFirstColumn="0" w:firstRowLastColumn="0" w:lastRowFirstColumn="0" w:lastRowLastColumn="0"/>
          <w:trHeight w:val="145"/>
        </w:trPr>
        <w:tc>
          <w:tcPr>
            <w:cnfStyle w:val="001000000000" w:firstRow="0" w:lastRow="0" w:firstColumn="1" w:lastColumn="0" w:oddVBand="0" w:evenVBand="0" w:oddHBand="0" w:evenHBand="0" w:firstRowFirstColumn="0" w:firstRowLastColumn="0" w:lastRowFirstColumn="0" w:lastRowLastColumn="0"/>
            <w:tcW w:w="2666" w:type="dxa"/>
          </w:tcPr>
          <w:p w:rsidR="00A36BA9" w:rsidRPr="0040018B" w:rsidRDefault="00A36BA9" w:rsidP="0089173F">
            <w:pPr>
              <w:pStyle w:val="Prrafodelista"/>
              <w:autoSpaceDE w:val="0"/>
              <w:autoSpaceDN w:val="0"/>
              <w:adjustRightInd w:val="0"/>
              <w:ind w:left="0"/>
              <w:jc w:val="both"/>
              <w:rPr>
                <w:rFonts w:ascii="Arial" w:hAnsi="Arial" w:cs="Arial"/>
                <w:b w:val="0"/>
                <w:color w:val="000000"/>
                <w:sz w:val="20"/>
                <w:szCs w:val="20"/>
              </w:rPr>
            </w:pPr>
            <w:r w:rsidRPr="0040018B">
              <w:rPr>
                <w:rFonts w:ascii="Arial" w:hAnsi="Arial" w:cs="Arial"/>
                <w:b w:val="0"/>
                <w:color w:val="000000"/>
                <w:sz w:val="20"/>
                <w:szCs w:val="20"/>
              </w:rPr>
              <w:t>Incumplimiento normativo en el desarrollo de actividades Financieras, contractuales y administrativas.</w:t>
            </w:r>
          </w:p>
        </w:tc>
        <w:tc>
          <w:tcPr>
            <w:tcW w:w="3099" w:type="dxa"/>
          </w:tcPr>
          <w:p w:rsidR="00042446" w:rsidRDefault="00042446" w:rsidP="0040018B">
            <w:pPr>
              <w:pStyle w:val="Prrafodelista"/>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rsidR="00042446" w:rsidRDefault="00042446" w:rsidP="0040018B">
            <w:pPr>
              <w:pStyle w:val="Prrafodelista"/>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p>
          <w:p w:rsidR="00A36BA9" w:rsidRPr="0040018B" w:rsidRDefault="00676C07" w:rsidP="0040018B">
            <w:pPr>
              <w:pStyle w:val="Prrafodelista"/>
              <w:autoSpaceDE w:val="0"/>
              <w:autoSpaceDN w:val="0"/>
              <w:adjustRightInd w:val="0"/>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Gestión</w:t>
            </w:r>
          </w:p>
        </w:tc>
        <w:tc>
          <w:tcPr>
            <w:tcW w:w="3307" w:type="dxa"/>
          </w:tcPr>
          <w:p w:rsidR="00A36BA9" w:rsidRPr="0040018B" w:rsidRDefault="00A36BA9" w:rsidP="0089173F">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Aplicación indebida de los procedimientos internos</w:t>
            </w:r>
          </w:p>
          <w:p w:rsidR="00A36BA9" w:rsidRPr="0040018B" w:rsidRDefault="00676C07" w:rsidP="0089173F">
            <w:pPr>
              <w:pStyle w:val="Prrafodelista"/>
              <w:autoSpaceDE w:val="0"/>
              <w:autoSpaceDN w:val="0"/>
              <w:adjustRightInd w:val="0"/>
              <w:ind w:left="0"/>
              <w:jc w:val="both"/>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Desconocimiento de la normatividad</w:t>
            </w:r>
          </w:p>
        </w:tc>
      </w:tr>
    </w:tbl>
    <w:p w:rsidR="0089173F" w:rsidRPr="00042446" w:rsidRDefault="00F67175" w:rsidP="00F67175">
      <w:pPr>
        <w:autoSpaceDE w:val="0"/>
        <w:autoSpaceDN w:val="0"/>
        <w:adjustRightInd w:val="0"/>
        <w:jc w:val="both"/>
        <w:rPr>
          <w:rFonts w:ascii="Arial" w:hAnsi="Arial" w:cs="Arial"/>
          <w:i/>
          <w:color w:val="000000"/>
          <w:sz w:val="14"/>
          <w:szCs w:val="14"/>
        </w:rPr>
      </w:pPr>
      <w:r>
        <w:rPr>
          <w:rFonts w:ascii="Arial" w:hAnsi="Arial" w:cs="Arial"/>
          <w:i/>
          <w:color w:val="000000"/>
          <w:sz w:val="16"/>
          <w:szCs w:val="16"/>
        </w:rPr>
        <w:t xml:space="preserve">    </w:t>
      </w:r>
      <w:r w:rsidRPr="00042446">
        <w:rPr>
          <w:rFonts w:ascii="Arial" w:hAnsi="Arial" w:cs="Arial"/>
          <w:i/>
          <w:color w:val="000000"/>
          <w:sz w:val="14"/>
          <w:szCs w:val="14"/>
        </w:rPr>
        <w:t>Fuente: Sistema de Gestión Institucional- SGI</w:t>
      </w:r>
    </w:p>
    <w:p w:rsidR="0089173F" w:rsidRPr="00A36BA9" w:rsidRDefault="0089173F" w:rsidP="0089173F">
      <w:pPr>
        <w:pStyle w:val="Prrafodelista"/>
        <w:autoSpaceDE w:val="0"/>
        <w:autoSpaceDN w:val="0"/>
        <w:adjustRightInd w:val="0"/>
        <w:jc w:val="both"/>
        <w:rPr>
          <w:rFonts w:ascii="Arial" w:hAnsi="Arial" w:cs="Arial"/>
          <w:color w:val="000000"/>
        </w:rPr>
      </w:pPr>
    </w:p>
    <w:p w:rsidR="00ED28C8" w:rsidRPr="0014064C" w:rsidRDefault="00F80C74" w:rsidP="00F80C74">
      <w:pPr>
        <w:pStyle w:val="Prrafodelista"/>
        <w:numPr>
          <w:ilvl w:val="0"/>
          <w:numId w:val="19"/>
        </w:numPr>
        <w:autoSpaceDE w:val="0"/>
        <w:autoSpaceDN w:val="0"/>
        <w:adjustRightInd w:val="0"/>
        <w:jc w:val="both"/>
        <w:rPr>
          <w:rFonts w:ascii="Arial" w:hAnsi="Arial" w:cs="Arial"/>
          <w:color w:val="000000"/>
        </w:rPr>
      </w:pPr>
      <w:r w:rsidRPr="00F80C74">
        <w:rPr>
          <w:rFonts w:ascii="Arial" w:hAnsi="Arial" w:cs="Arial"/>
          <w:b/>
          <w:color w:val="404040"/>
        </w:rPr>
        <w:t>Plan de Mejoramiento</w:t>
      </w:r>
      <w:r w:rsidR="0014064C">
        <w:rPr>
          <w:rFonts w:ascii="Arial" w:hAnsi="Arial" w:cs="Arial"/>
          <w:b/>
          <w:color w:val="404040"/>
        </w:rPr>
        <w:t xml:space="preserve">: </w:t>
      </w:r>
      <w:r w:rsidR="0014064C" w:rsidRPr="0014064C">
        <w:rPr>
          <w:rFonts w:ascii="Arial" w:hAnsi="Arial" w:cs="Arial"/>
          <w:color w:val="000000"/>
        </w:rPr>
        <w:t xml:space="preserve">A </w:t>
      </w:r>
      <w:r w:rsidR="00042446" w:rsidRPr="0014064C">
        <w:rPr>
          <w:rFonts w:ascii="Arial" w:hAnsi="Arial" w:cs="Arial"/>
          <w:color w:val="000000"/>
        </w:rPr>
        <w:t>continuación,</w:t>
      </w:r>
      <w:r w:rsidR="0014064C" w:rsidRPr="0014064C">
        <w:rPr>
          <w:rFonts w:ascii="Arial" w:hAnsi="Arial" w:cs="Arial"/>
          <w:color w:val="000000"/>
        </w:rPr>
        <w:t xml:space="preserve"> se reporta el estado del Plan de Mejoramiento del Grupo de Gestión Financiera</w:t>
      </w:r>
      <w:r w:rsidR="0014064C">
        <w:rPr>
          <w:rFonts w:ascii="Arial" w:hAnsi="Arial" w:cs="Arial"/>
          <w:color w:val="000000"/>
        </w:rPr>
        <w:t>:</w:t>
      </w:r>
    </w:p>
    <w:p w:rsidR="00F80C74" w:rsidRPr="00F80C74" w:rsidRDefault="00F80C74" w:rsidP="00F80C74">
      <w:pPr>
        <w:autoSpaceDE w:val="0"/>
        <w:autoSpaceDN w:val="0"/>
        <w:adjustRightInd w:val="0"/>
        <w:jc w:val="both"/>
        <w:rPr>
          <w:rFonts w:ascii="Arial" w:hAnsi="Arial" w:cs="Arial"/>
          <w:b/>
          <w:color w:val="404040"/>
        </w:rPr>
      </w:pPr>
    </w:p>
    <w:tbl>
      <w:tblPr>
        <w:tblStyle w:val="Listaclara-nfasis1"/>
        <w:tblW w:w="9100" w:type="dxa"/>
        <w:tblInd w:w="250" w:type="dxa"/>
        <w:tblLook w:val="04A0" w:firstRow="1" w:lastRow="0" w:firstColumn="1" w:lastColumn="0" w:noHBand="0" w:noVBand="1"/>
      </w:tblPr>
      <w:tblGrid>
        <w:gridCol w:w="1017"/>
        <w:gridCol w:w="3592"/>
        <w:gridCol w:w="2218"/>
        <w:gridCol w:w="2273"/>
      </w:tblGrid>
      <w:tr w:rsidR="00023A81" w:rsidTr="00BF1F3A">
        <w:trPr>
          <w:cnfStyle w:val="100000000000" w:firstRow="1" w:lastRow="0" w:firstColumn="0" w:lastColumn="0" w:oddVBand="0" w:evenVBand="0" w:oddHBand="0"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017" w:type="dxa"/>
          </w:tcPr>
          <w:p w:rsidR="0089173F" w:rsidRPr="0040018B" w:rsidRDefault="0089173F" w:rsidP="0089173F">
            <w:pPr>
              <w:pStyle w:val="Prrafodelista"/>
              <w:ind w:left="0"/>
              <w:jc w:val="center"/>
              <w:rPr>
                <w:rFonts w:ascii="Arial" w:hAnsi="Arial" w:cs="Arial"/>
                <w:sz w:val="20"/>
                <w:szCs w:val="20"/>
              </w:rPr>
            </w:pPr>
            <w:r w:rsidRPr="0040018B">
              <w:rPr>
                <w:rFonts w:ascii="Arial" w:hAnsi="Arial" w:cs="Arial"/>
                <w:sz w:val="20"/>
                <w:szCs w:val="20"/>
              </w:rPr>
              <w:t>No. hallazgo</w:t>
            </w:r>
          </w:p>
        </w:tc>
        <w:tc>
          <w:tcPr>
            <w:tcW w:w="3592" w:type="dxa"/>
          </w:tcPr>
          <w:p w:rsidR="0089173F" w:rsidRPr="0040018B" w:rsidRDefault="0089173F" w:rsidP="0089173F">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0018B">
              <w:rPr>
                <w:rFonts w:ascii="Arial" w:hAnsi="Arial" w:cs="Arial"/>
                <w:sz w:val="20"/>
                <w:szCs w:val="20"/>
              </w:rPr>
              <w:t>Descripción</w:t>
            </w:r>
          </w:p>
        </w:tc>
        <w:tc>
          <w:tcPr>
            <w:tcW w:w="2218" w:type="dxa"/>
          </w:tcPr>
          <w:p w:rsidR="0089173F" w:rsidRPr="0040018B" w:rsidRDefault="0089173F" w:rsidP="0089173F">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0018B">
              <w:rPr>
                <w:rFonts w:ascii="Arial" w:hAnsi="Arial" w:cs="Arial"/>
                <w:sz w:val="20"/>
                <w:szCs w:val="20"/>
              </w:rPr>
              <w:t>Estado hallazgo</w:t>
            </w:r>
          </w:p>
        </w:tc>
        <w:tc>
          <w:tcPr>
            <w:tcW w:w="2273" w:type="dxa"/>
          </w:tcPr>
          <w:p w:rsidR="0089173F" w:rsidRPr="0040018B" w:rsidRDefault="0089173F" w:rsidP="0089173F">
            <w:pPr>
              <w:pStyle w:val="Prrafodelista"/>
              <w:ind w:left="0"/>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40018B">
              <w:rPr>
                <w:rFonts w:ascii="Arial" w:hAnsi="Arial" w:cs="Arial"/>
                <w:sz w:val="20"/>
                <w:szCs w:val="20"/>
              </w:rPr>
              <w:t>Origen hallazgo</w:t>
            </w:r>
          </w:p>
        </w:tc>
      </w:tr>
      <w:tr w:rsidR="0040018B" w:rsidTr="00BF1F3A">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017" w:type="dxa"/>
          </w:tcPr>
          <w:p w:rsidR="0089173F" w:rsidRPr="0040018B" w:rsidRDefault="0089173F" w:rsidP="001626A3">
            <w:pPr>
              <w:pStyle w:val="Prrafodelista"/>
              <w:ind w:left="0"/>
              <w:jc w:val="center"/>
              <w:rPr>
                <w:rFonts w:ascii="Arial" w:hAnsi="Arial" w:cs="Arial"/>
                <w:b w:val="0"/>
                <w:color w:val="000000"/>
                <w:sz w:val="20"/>
                <w:szCs w:val="20"/>
              </w:rPr>
            </w:pPr>
            <w:r w:rsidRPr="0040018B">
              <w:rPr>
                <w:rFonts w:ascii="Arial" w:hAnsi="Arial" w:cs="Arial"/>
                <w:b w:val="0"/>
                <w:color w:val="000000"/>
                <w:sz w:val="20"/>
                <w:szCs w:val="20"/>
              </w:rPr>
              <w:t>324</w:t>
            </w:r>
          </w:p>
        </w:tc>
        <w:tc>
          <w:tcPr>
            <w:tcW w:w="3592" w:type="dxa"/>
          </w:tcPr>
          <w:p w:rsidR="0089173F" w:rsidRPr="0040018B" w:rsidRDefault="0089173F" w:rsidP="00ED28C8">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Avances y Anticipos Entregados</w:t>
            </w:r>
          </w:p>
        </w:tc>
        <w:tc>
          <w:tcPr>
            <w:tcW w:w="2218" w:type="dxa"/>
          </w:tcPr>
          <w:p w:rsidR="0089173F" w:rsidRPr="0040018B" w:rsidRDefault="0089173F" w:rsidP="00ED28C8">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En ejecución sin retraso</w:t>
            </w:r>
          </w:p>
        </w:tc>
        <w:tc>
          <w:tcPr>
            <w:tcW w:w="2273" w:type="dxa"/>
          </w:tcPr>
          <w:p w:rsidR="0089173F" w:rsidRPr="0040018B" w:rsidRDefault="0089173F" w:rsidP="00ED28C8">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Auditoría Externa de Contraloría</w:t>
            </w:r>
          </w:p>
        </w:tc>
      </w:tr>
      <w:tr w:rsidR="0040018B" w:rsidTr="00BF1F3A">
        <w:trPr>
          <w:trHeight w:val="518"/>
        </w:trPr>
        <w:tc>
          <w:tcPr>
            <w:cnfStyle w:val="001000000000" w:firstRow="0" w:lastRow="0" w:firstColumn="1" w:lastColumn="0" w:oddVBand="0" w:evenVBand="0" w:oddHBand="0" w:evenHBand="0" w:firstRowFirstColumn="0" w:firstRowLastColumn="0" w:lastRowFirstColumn="0" w:lastRowLastColumn="0"/>
            <w:tcW w:w="1017" w:type="dxa"/>
          </w:tcPr>
          <w:p w:rsidR="0089173F" w:rsidRPr="0040018B" w:rsidRDefault="0089173F" w:rsidP="001626A3">
            <w:pPr>
              <w:pStyle w:val="Prrafodelista"/>
              <w:ind w:left="0"/>
              <w:jc w:val="center"/>
              <w:rPr>
                <w:rFonts w:ascii="Arial" w:hAnsi="Arial" w:cs="Arial"/>
                <w:b w:val="0"/>
                <w:color w:val="000000"/>
                <w:sz w:val="20"/>
                <w:szCs w:val="20"/>
              </w:rPr>
            </w:pPr>
            <w:r w:rsidRPr="0040018B">
              <w:rPr>
                <w:rFonts w:ascii="Arial" w:hAnsi="Arial" w:cs="Arial"/>
                <w:b w:val="0"/>
                <w:color w:val="000000"/>
                <w:sz w:val="20"/>
                <w:szCs w:val="20"/>
              </w:rPr>
              <w:t>325</w:t>
            </w:r>
          </w:p>
        </w:tc>
        <w:tc>
          <w:tcPr>
            <w:tcW w:w="3592" w:type="dxa"/>
          </w:tcPr>
          <w:p w:rsidR="0089173F" w:rsidRPr="0040018B" w:rsidRDefault="0089173F" w:rsidP="00ED28C8">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Depreciación Acumulada de Equipos de Cómputo</w:t>
            </w:r>
          </w:p>
        </w:tc>
        <w:tc>
          <w:tcPr>
            <w:tcW w:w="2218" w:type="dxa"/>
          </w:tcPr>
          <w:p w:rsidR="0089173F" w:rsidRPr="0040018B" w:rsidRDefault="0089173F" w:rsidP="00ED28C8">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En ejecución sin retraso</w:t>
            </w:r>
          </w:p>
        </w:tc>
        <w:tc>
          <w:tcPr>
            <w:tcW w:w="2273" w:type="dxa"/>
          </w:tcPr>
          <w:p w:rsidR="0089173F" w:rsidRPr="0040018B" w:rsidRDefault="0089173F" w:rsidP="00ED28C8">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Auditoría Externa de Contraloría</w:t>
            </w:r>
          </w:p>
        </w:tc>
      </w:tr>
      <w:tr w:rsidR="0040018B" w:rsidTr="00BF1F3A">
        <w:trPr>
          <w:cnfStyle w:val="000000100000" w:firstRow="0" w:lastRow="0" w:firstColumn="0" w:lastColumn="0" w:oddVBand="0" w:evenVBand="0" w:oddHBand="1" w:evenHBand="0" w:firstRowFirstColumn="0" w:firstRowLastColumn="0" w:lastRowFirstColumn="0" w:lastRowLastColumn="0"/>
          <w:trHeight w:val="518"/>
        </w:trPr>
        <w:tc>
          <w:tcPr>
            <w:cnfStyle w:val="001000000000" w:firstRow="0" w:lastRow="0" w:firstColumn="1" w:lastColumn="0" w:oddVBand="0" w:evenVBand="0" w:oddHBand="0" w:evenHBand="0" w:firstRowFirstColumn="0" w:firstRowLastColumn="0" w:lastRowFirstColumn="0" w:lastRowLastColumn="0"/>
            <w:tcW w:w="1017" w:type="dxa"/>
          </w:tcPr>
          <w:p w:rsidR="0089173F" w:rsidRPr="0040018B" w:rsidRDefault="0089173F" w:rsidP="001626A3">
            <w:pPr>
              <w:pStyle w:val="Prrafodelista"/>
              <w:ind w:left="0"/>
              <w:jc w:val="center"/>
              <w:rPr>
                <w:rFonts w:ascii="Arial" w:hAnsi="Arial" w:cs="Arial"/>
                <w:b w:val="0"/>
                <w:color w:val="000000"/>
                <w:sz w:val="20"/>
                <w:szCs w:val="20"/>
              </w:rPr>
            </w:pPr>
            <w:r w:rsidRPr="0040018B">
              <w:rPr>
                <w:rFonts w:ascii="Arial" w:hAnsi="Arial" w:cs="Arial"/>
                <w:b w:val="0"/>
                <w:color w:val="000000"/>
                <w:sz w:val="20"/>
                <w:szCs w:val="20"/>
              </w:rPr>
              <w:t>326</w:t>
            </w:r>
          </w:p>
        </w:tc>
        <w:tc>
          <w:tcPr>
            <w:tcW w:w="3592" w:type="dxa"/>
          </w:tcPr>
          <w:p w:rsidR="0089173F" w:rsidRPr="0040018B" w:rsidRDefault="0089173F" w:rsidP="00ED28C8">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Amortización Acumulada de Intangibles</w:t>
            </w:r>
          </w:p>
        </w:tc>
        <w:tc>
          <w:tcPr>
            <w:tcW w:w="2218" w:type="dxa"/>
          </w:tcPr>
          <w:p w:rsidR="0089173F" w:rsidRPr="0040018B" w:rsidRDefault="0089173F" w:rsidP="00ED28C8">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En ejecución sin retraso</w:t>
            </w:r>
          </w:p>
        </w:tc>
        <w:tc>
          <w:tcPr>
            <w:tcW w:w="2273" w:type="dxa"/>
          </w:tcPr>
          <w:p w:rsidR="0089173F" w:rsidRPr="0040018B" w:rsidRDefault="0089173F" w:rsidP="00ED28C8">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Auditoría Externa de Contraloría</w:t>
            </w:r>
          </w:p>
        </w:tc>
      </w:tr>
      <w:tr w:rsidR="0040018B" w:rsidTr="00BF1F3A">
        <w:trPr>
          <w:trHeight w:val="2585"/>
        </w:trPr>
        <w:tc>
          <w:tcPr>
            <w:cnfStyle w:val="001000000000" w:firstRow="0" w:lastRow="0" w:firstColumn="1" w:lastColumn="0" w:oddVBand="0" w:evenVBand="0" w:oddHBand="0" w:evenHBand="0" w:firstRowFirstColumn="0" w:firstRowLastColumn="0" w:lastRowFirstColumn="0" w:lastRowLastColumn="0"/>
            <w:tcW w:w="1017" w:type="dxa"/>
          </w:tcPr>
          <w:p w:rsidR="0040018B" w:rsidRDefault="0040018B" w:rsidP="001626A3">
            <w:pPr>
              <w:pStyle w:val="Prrafodelista"/>
              <w:ind w:left="0"/>
              <w:jc w:val="center"/>
              <w:rPr>
                <w:rFonts w:ascii="Arial" w:hAnsi="Arial" w:cs="Arial"/>
                <w:b w:val="0"/>
                <w:color w:val="000000"/>
                <w:sz w:val="20"/>
                <w:szCs w:val="20"/>
              </w:rPr>
            </w:pPr>
          </w:p>
          <w:p w:rsidR="0040018B" w:rsidRDefault="0040018B" w:rsidP="001626A3">
            <w:pPr>
              <w:pStyle w:val="Prrafodelista"/>
              <w:ind w:left="0"/>
              <w:jc w:val="center"/>
              <w:rPr>
                <w:rFonts w:ascii="Arial" w:hAnsi="Arial" w:cs="Arial"/>
                <w:b w:val="0"/>
                <w:color w:val="000000"/>
                <w:sz w:val="20"/>
                <w:szCs w:val="20"/>
              </w:rPr>
            </w:pPr>
          </w:p>
          <w:p w:rsidR="0040018B" w:rsidRDefault="0040018B" w:rsidP="001626A3">
            <w:pPr>
              <w:pStyle w:val="Prrafodelista"/>
              <w:ind w:left="0"/>
              <w:jc w:val="center"/>
              <w:rPr>
                <w:rFonts w:ascii="Arial" w:hAnsi="Arial" w:cs="Arial"/>
                <w:b w:val="0"/>
                <w:color w:val="000000"/>
                <w:sz w:val="20"/>
                <w:szCs w:val="20"/>
              </w:rPr>
            </w:pPr>
          </w:p>
          <w:p w:rsidR="0040018B" w:rsidRDefault="0040018B" w:rsidP="001626A3">
            <w:pPr>
              <w:pStyle w:val="Prrafodelista"/>
              <w:ind w:left="0"/>
              <w:jc w:val="center"/>
              <w:rPr>
                <w:rFonts w:ascii="Arial" w:hAnsi="Arial" w:cs="Arial"/>
                <w:b w:val="0"/>
                <w:color w:val="000000"/>
                <w:sz w:val="20"/>
                <w:szCs w:val="20"/>
              </w:rPr>
            </w:pPr>
          </w:p>
          <w:p w:rsidR="0089173F" w:rsidRPr="0040018B" w:rsidRDefault="0089173F" w:rsidP="001626A3">
            <w:pPr>
              <w:pStyle w:val="Prrafodelista"/>
              <w:ind w:left="0"/>
              <w:jc w:val="center"/>
              <w:rPr>
                <w:rFonts w:ascii="Arial" w:hAnsi="Arial" w:cs="Arial"/>
                <w:b w:val="0"/>
                <w:color w:val="000000"/>
                <w:sz w:val="20"/>
                <w:szCs w:val="20"/>
              </w:rPr>
            </w:pPr>
            <w:r w:rsidRPr="0040018B">
              <w:rPr>
                <w:rFonts w:ascii="Arial" w:hAnsi="Arial" w:cs="Arial"/>
                <w:b w:val="0"/>
                <w:color w:val="000000"/>
                <w:sz w:val="20"/>
                <w:szCs w:val="20"/>
              </w:rPr>
              <w:t>327</w:t>
            </w:r>
          </w:p>
        </w:tc>
        <w:tc>
          <w:tcPr>
            <w:tcW w:w="3592" w:type="dxa"/>
          </w:tcPr>
          <w:p w:rsidR="0089173F" w:rsidRDefault="00CB4CB4" w:rsidP="00ED28C8">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Se evidencia la materialización del riesgo "Incumplimiento Legal". Al revisar el Estado de Cambios en el Patrimonio remitido a través de informe oficial para la Comisión Legal de cuentas de la vigencia 2017, se encontró que la entidad reportó el valor del patrimonio distinto al consignado en los Estados Financieros a 31 de diciembre de 2017.</w:t>
            </w:r>
          </w:p>
          <w:p w:rsidR="00BF1F3A" w:rsidRDefault="00BF1F3A" w:rsidP="00ED28C8">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p w:rsidR="00BF1F3A" w:rsidRPr="0040018B" w:rsidRDefault="00BF1F3A" w:rsidP="00ED28C8">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p>
        </w:tc>
        <w:tc>
          <w:tcPr>
            <w:tcW w:w="2218" w:type="dxa"/>
          </w:tcPr>
          <w:p w:rsidR="0089173F" w:rsidRPr="0040018B" w:rsidRDefault="00CB4CB4" w:rsidP="00ED28C8">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lastRenderedPageBreak/>
              <w:t>Para cierre</w:t>
            </w:r>
          </w:p>
        </w:tc>
        <w:tc>
          <w:tcPr>
            <w:tcW w:w="2273" w:type="dxa"/>
          </w:tcPr>
          <w:p w:rsidR="0089173F" w:rsidRPr="0040018B" w:rsidRDefault="00CB4CB4" w:rsidP="00ED28C8">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Seguimientos OCI</w:t>
            </w:r>
          </w:p>
        </w:tc>
      </w:tr>
      <w:tr w:rsidR="00BF1F3A" w:rsidTr="00BF1F3A">
        <w:trPr>
          <w:cnfStyle w:val="000000100000" w:firstRow="0" w:lastRow="0" w:firstColumn="0" w:lastColumn="0" w:oddVBand="0" w:evenVBand="0" w:oddHBand="1" w:evenHBand="0" w:firstRowFirstColumn="0" w:firstRowLastColumn="0" w:lastRowFirstColumn="0" w:lastRowLastColumn="0"/>
          <w:trHeight w:val="698"/>
        </w:trPr>
        <w:tc>
          <w:tcPr>
            <w:cnfStyle w:val="001000000000" w:firstRow="0" w:lastRow="0" w:firstColumn="1" w:lastColumn="0" w:oddVBand="0" w:evenVBand="0" w:oddHBand="0" w:evenHBand="0" w:firstRowFirstColumn="0" w:firstRowLastColumn="0" w:lastRowFirstColumn="0" w:lastRowLastColumn="0"/>
            <w:tcW w:w="1017" w:type="dxa"/>
            <w:shd w:val="clear" w:color="auto" w:fill="5B9BD5" w:themeFill="accent1"/>
          </w:tcPr>
          <w:p w:rsidR="00BF1F3A" w:rsidRPr="00BF1F3A" w:rsidRDefault="00BF1F3A" w:rsidP="00BF1F3A">
            <w:pPr>
              <w:pStyle w:val="Prrafodelista"/>
              <w:ind w:left="0"/>
              <w:jc w:val="center"/>
              <w:rPr>
                <w:rFonts w:ascii="Arial" w:hAnsi="Arial" w:cs="Arial"/>
                <w:color w:val="FFFFFF" w:themeColor="background1"/>
                <w:sz w:val="20"/>
                <w:szCs w:val="20"/>
              </w:rPr>
            </w:pPr>
            <w:r w:rsidRPr="00BF1F3A">
              <w:rPr>
                <w:rFonts w:ascii="Arial" w:hAnsi="Arial" w:cs="Arial"/>
                <w:color w:val="FFFFFF" w:themeColor="background1"/>
                <w:sz w:val="20"/>
                <w:szCs w:val="20"/>
              </w:rPr>
              <w:lastRenderedPageBreak/>
              <w:t>No. hallazgo</w:t>
            </w:r>
          </w:p>
        </w:tc>
        <w:tc>
          <w:tcPr>
            <w:tcW w:w="3592" w:type="dxa"/>
            <w:shd w:val="clear" w:color="auto" w:fill="5B9BD5" w:themeFill="accent1"/>
          </w:tcPr>
          <w:p w:rsidR="00BF1F3A" w:rsidRPr="00BF1F3A" w:rsidRDefault="00BF1F3A" w:rsidP="00BF1F3A">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0"/>
                <w:szCs w:val="20"/>
              </w:rPr>
            </w:pPr>
            <w:r w:rsidRPr="00BF1F3A">
              <w:rPr>
                <w:rFonts w:ascii="Arial" w:hAnsi="Arial" w:cs="Arial"/>
                <w:b/>
                <w:color w:val="FFFFFF" w:themeColor="background1"/>
                <w:sz w:val="20"/>
                <w:szCs w:val="20"/>
              </w:rPr>
              <w:t>Descripción</w:t>
            </w:r>
          </w:p>
        </w:tc>
        <w:tc>
          <w:tcPr>
            <w:tcW w:w="2218" w:type="dxa"/>
            <w:shd w:val="clear" w:color="auto" w:fill="5B9BD5" w:themeFill="accent1"/>
          </w:tcPr>
          <w:p w:rsidR="00BF1F3A" w:rsidRPr="00BF1F3A" w:rsidRDefault="00BF1F3A" w:rsidP="00BF1F3A">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0"/>
                <w:szCs w:val="20"/>
              </w:rPr>
            </w:pPr>
            <w:r w:rsidRPr="00BF1F3A">
              <w:rPr>
                <w:rFonts w:ascii="Arial" w:hAnsi="Arial" w:cs="Arial"/>
                <w:b/>
                <w:color w:val="FFFFFF" w:themeColor="background1"/>
                <w:sz w:val="20"/>
                <w:szCs w:val="20"/>
              </w:rPr>
              <w:t>Estado hallazgo</w:t>
            </w:r>
          </w:p>
        </w:tc>
        <w:tc>
          <w:tcPr>
            <w:tcW w:w="2273" w:type="dxa"/>
            <w:shd w:val="clear" w:color="auto" w:fill="5B9BD5" w:themeFill="accent1"/>
          </w:tcPr>
          <w:p w:rsidR="00BF1F3A" w:rsidRPr="00BF1F3A" w:rsidRDefault="00BF1F3A" w:rsidP="00BF1F3A">
            <w:pPr>
              <w:pStyle w:val="Prrafodelista"/>
              <w:ind w:left="0"/>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FFFFFF" w:themeColor="background1"/>
                <w:sz w:val="20"/>
                <w:szCs w:val="20"/>
              </w:rPr>
            </w:pPr>
            <w:r w:rsidRPr="00BF1F3A">
              <w:rPr>
                <w:rFonts w:ascii="Arial" w:hAnsi="Arial" w:cs="Arial"/>
                <w:b/>
                <w:color w:val="FFFFFF" w:themeColor="background1"/>
                <w:sz w:val="20"/>
                <w:szCs w:val="20"/>
              </w:rPr>
              <w:t>Origen hallazgo</w:t>
            </w:r>
          </w:p>
        </w:tc>
      </w:tr>
      <w:tr w:rsidR="0040018B" w:rsidTr="00BF1F3A">
        <w:trPr>
          <w:trHeight w:val="1494"/>
        </w:trPr>
        <w:tc>
          <w:tcPr>
            <w:cnfStyle w:val="001000000000" w:firstRow="0" w:lastRow="0" w:firstColumn="1" w:lastColumn="0" w:oddVBand="0" w:evenVBand="0" w:oddHBand="0" w:evenHBand="0" w:firstRowFirstColumn="0" w:firstRowLastColumn="0" w:lastRowFirstColumn="0" w:lastRowLastColumn="0"/>
            <w:tcW w:w="1017" w:type="dxa"/>
          </w:tcPr>
          <w:p w:rsidR="0040018B" w:rsidRDefault="0040018B" w:rsidP="001626A3">
            <w:pPr>
              <w:pStyle w:val="Prrafodelista"/>
              <w:ind w:left="0"/>
              <w:jc w:val="center"/>
              <w:rPr>
                <w:rFonts w:ascii="Arial" w:hAnsi="Arial" w:cs="Arial"/>
                <w:b w:val="0"/>
                <w:color w:val="000000"/>
                <w:sz w:val="20"/>
                <w:szCs w:val="20"/>
              </w:rPr>
            </w:pPr>
          </w:p>
          <w:p w:rsidR="0040018B" w:rsidRDefault="0040018B" w:rsidP="001626A3">
            <w:pPr>
              <w:pStyle w:val="Prrafodelista"/>
              <w:ind w:left="0"/>
              <w:jc w:val="center"/>
              <w:rPr>
                <w:rFonts w:ascii="Arial" w:hAnsi="Arial" w:cs="Arial"/>
                <w:b w:val="0"/>
                <w:color w:val="000000"/>
                <w:sz w:val="20"/>
                <w:szCs w:val="20"/>
              </w:rPr>
            </w:pPr>
          </w:p>
          <w:p w:rsidR="0040018B" w:rsidRDefault="0040018B" w:rsidP="001626A3">
            <w:pPr>
              <w:pStyle w:val="Prrafodelista"/>
              <w:ind w:left="0"/>
              <w:jc w:val="center"/>
              <w:rPr>
                <w:rFonts w:ascii="Arial" w:hAnsi="Arial" w:cs="Arial"/>
                <w:b w:val="0"/>
                <w:color w:val="000000"/>
                <w:sz w:val="20"/>
                <w:szCs w:val="20"/>
              </w:rPr>
            </w:pPr>
          </w:p>
          <w:p w:rsidR="0089173F" w:rsidRPr="0040018B" w:rsidRDefault="0089173F" w:rsidP="001626A3">
            <w:pPr>
              <w:pStyle w:val="Prrafodelista"/>
              <w:ind w:left="0"/>
              <w:jc w:val="center"/>
              <w:rPr>
                <w:rFonts w:ascii="Arial" w:hAnsi="Arial" w:cs="Arial"/>
                <w:b w:val="0"/>
                <w:color w:val="000000"/>
                <w:sz w:val="20"/>
                <w:szCs w:val="20"/>
              </w:rPr>
            </w:pPr>
            <w:r w:rsidRPr="0040018B">
              <w:rPr>
                <w:rFonts w:ascii="Arial" w:hAnsi="Arial" w:cs="Arial"/>
                <w:b w:val="0"/>
                <w:color w:val="000000"/>
                <w:sz w:val="20"/>
                <w:szCs w:val="20"/>
              </w:rPr>
              <w:t>328</w:t>
            </w:r>
          </w:p>
        </w:tc>
        <w:tc>
          <w:tcPr>
            <w:tcW w:w="3592" w:type="dxa"/>
          </w:tcPr>
          <w:p w:rsidR="0089173F" w:rsidRPr="0040018B" w:rsidRDefault="00CB4CB4" w:rsidP="00ED28C8">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Se evidencia la materialización del riesgo "Incumplimiento Legal". No se presentó la información exógena Distrital de la vigencia 2018 en los tiempos establecidos por la Secretaria de Hacienda Distrital</w:t>
            </w:r>
          </w:p>
        </w:tc>
        <w:tc>
          <w:tcPr>
            <w:tcW w:w="2218" w:type="dxa"/>
          </w:tcPr>
          <w:p w:rsidR="0089173F" w:rsidRPr="0040018B" w:rsidRDefault="00CB4CB4" w:rsidP="00ED28C8">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Para cierre</w:t>
            </w:r>
          </w:p>
        </w:tc>
        <w:tc>
          <w:tcPr>
            <w:tcW w:w="2273" w:type="dxa"/>
          </w:tcPr>
          <w:p w:rsidR="0089173F" w:rsidRPr="0040018B" w:rsidRDefault="00CB4CB4" w:rsidP="00ED28C8">
            <w:pPr>
              <w:pStyle w:val="Prrafodelista"/>
              <w:ind w:left="0"/>
              <w:cnfStyle w:val="000000000000" w:firstRow="0" w:lastRow="0" w:firstColumn="0" w:lastColumn="0" w:oddVBand="0" w:evenVBand="0" w:oddHBand="0" w:evenHBand="0"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Mejora – Autoevaluación</w:t>
            </w:r>
          </w:p>
        </w:tc>
      </w:tr>
      <w:tr w:rsidR="0040018B" w:rsidTr="00BF1F3A">
        <w:trPr>
          <w:cnfStyle w:val="000000100000" w:firstRow="0" w:lastRow="0" w:firstColumn="0" w:lastColumn="0" w:oddVBand="0" w:evenVBand="0" w:oddHBand="1" w:evenHBand="0" w:firstRowFirstColumn="0" w:firstRowLastColumn="0" w:lastRowFirstColumn="0" w:lastRowLastColumn="0"/>
          <w:trHeight w:val="1686"/>
        </w:trPr>
        <w:tc>
          <w:tcPr>
            <w:cnfStyle w:val="001000000000" w:firstRow="0" w:lastRow="0" w:firstColumn="1" w:lastColumn="0" w:oddVBand="0" w:evenVBand="0" w:oddHBand="0" w:evenHBand="0" w:firstRowFirstColumn="0" w:firstRowLastColumn="0" w:lastRowFirstColumn="0" w:lastRowLastColumn="0"/>
            <w:tcW w:w="1017" w:type="dxa"/>
          </w:tcPr>
          <w:p w:rsidR="0040018B" w:rsidRDefault="0040018B" w:rsidP="001626A3">
            <w:pPr>
              <w:pStyle w:val="Prrafodelista"/>
              <w:ind w:left="0"/>
              <w:jc w:val="center"/>
              <w:rPr>
                <w:rFonts w:ascii="Arial" w:hAnsi="Arial" w:cs="Arial"/>
                <w:b w:val="0"/>
                <w:color w:val="000000"/>
                <w:sz w:val="20"/>
                <w:szCs w:val="20"/>
              </w:rPr>
            </w:pPr>
          </w:p>
          <w:p w:rsidR="0040018B" w:rsidRDefault="0040018B" w:rsidP="001626A3">
            <w:pPr>
              <w:pStyle w:val="Prrafodelista"/>
              <w:ind w:left="0"/>
              <w:jc w:val="center"/>
              <w:rPr>
                <w:rFonts w:ascii="Arial" w:hAnsi="Arial" w:cs="Arial"/>
                <w:b w:val="0"/>
                <w:color w:val="000000"/>
                <w:sz w:val="20"/>
                <w:szCs w:val="20"/>
              </w:rPr>
            </w:pPr>
          </w:p>
          <w:p w:rsidR="0040018B" w:rsidRDefault="0040018B" w:rsidP="001626A3">
            <w:pPr>
              <w:pStyle w:val="Prrafodelista"/>
              <w:ind w:left="0"/>
              <w:jc w:val="center"/>
              <w:rPr>
                <w:rFonts w:ascii="Arial" w:hAnsi="Arial" w:cs="Arial"/>
                <w:b w:val="0"/>
                <w:color w:val="000000"/>
                <w:sz w:val="20"/>
                <w:szCs w:val="20"/>
              </w:rPr>
            </w:pPr>
          </w:p>
          <w:p w:rsidR="0089173F" w:rsidRPr="0040018B" w:rsidRDefault="0089173F" w:rsidP="001626A3">
            <w:pPr>
              <w:pStyle w:val="Prrafodelista"/>
              <w:ind w:left="0"/>
              <w:jc w:val="center"/>
              <w:rPr>
                <w:rFonts w:ascii="Arial" w:hAnsi="Arial" w:cs="Arial"/>
                <w:b w:val="0"/>
                <w:color w:val="000000"/>
                <w:sz w:val="20"/>
                <w:szCs w:val="20"/>
              </w:rPr>
            </w:pPr>
            <w:r w:rsidRPr="0040018B">
              <w:rPr>
                <w:rFonts w:ascii="Arial" w:hAnsi="Arial" w:cs="Arial"/>
                <w:b w:val="0"/>
                <w:color w:val="000000"/>
                <w:sz w:val="20"/>
                <w:szCs w:val="20"/>
              </w:rPr>
              <w:t>336</w:t>
            </w:r>
          </w:p>
        </w:tc>
        <w:tc>
          <w:tcPr>
            <w:tcW w:w="3592" w:type="dxa"/>
          </w:tcPr>
          <w:p w:rsidR="0089173F" w:rsidRPr="0040018B" w:rsidRDefault="00CB4CB4" w:rsidP="00ED28C8">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Se evidencia la materialización del riesgo “Incumplimiento Legal” evidenciado por la Contaduría General de la Nación en las normas para la presentación de los estados financieros y Revelaciones – Entidades de Gobierno.</w:t>
            </w:r>
          </w:p>
        </w:tc>
        <w:tc>
          <w:tcPr>
            <w:tcW w:w="2218" w:type="dxa"/>
          </w:tcPr>
          <w:p w:rsidR="0089173F" w:rsidRPr="0040018B" w:rsidRDefault="00CB4CB4" w:rsidP="00ED28C8">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En ejecución sin retraso</w:t>
            </w:r>
          </w:p>
        </w:tc>
        <w:tc>
          <w:tcPr>
            <w:tcW w:w="2273" w:type="dxa"/>
          </w:tcPr>
          <w:p w:rsidR="0089173F" w:rsidRPr="0040018B" w:rsidRDefault="00CB4CB4" w:rsidP="00ED28C8">
            <w:pPr>
              <w:pStyle w:val="Prrafodelista"/>
              <w:ind w:left="0"/>
              <w:cnfStyle w:val="000000100000" w:firstRow="0" w:lastRow="0" w:firstColumn="0" w:lastColumn="0" w:oddVBand="0" w:evenVBand="0" w:oddHBand="1" w:evenHBand="0" w:firstRowFirstColumn="0" w:firstRowLastColumn="0" w:lastRowFirstColumn="0" w:lastRowLastColumn="0"/>
              <w:rPr>
                <w:rFonts w:ascii="Arial" w:hAnsi="Arial" w:cs="Arial"/>
                <w:color w:val="000000"/>
                <w:sz w:val="20"/>
                <w:szCs w:val="20"/>
              </w:rPr>
            </w:pPr>
            <w:r w:rsidRPr="0040018B">
              <w:rPr>
                <w:rFonts w:ascii="Arial" w:hAnsi="Arial" w:cs="Arial"/>
                <w:color w:val="000000"/>
                <w:sz w:val="20"/>
                <w:szCs w:val="20"/>
              </w:rPr>
              <w:t>Seguimiento Contaduría General de la Nación</w:t>
            </w:r>
          </w:p>
        </w:tc>
      </w:tr>
    </w:tbl>
    <w:p w:rsidR="00ED28C8" w:rsidRPr="00042446" w:rsidRDefault="00042446" w:rsidP="00C92428">
      <w:pPr>
        <w:rPr>
          <w:rFonts w:ascii="Arial" w:hAnsi="Arial" w:cs="Arial"/>
          <w:i/>
          <w:color w:val="000000"/>
          <w:sz w:val="14"/>
          <w:szCs w:val="14"/>
        </w:rPr>
      </w:pPr>
      <w:r>
        <w:rPr>
          <w:rFonts w:ascii="Arial" w:hAnsi="Arial" w:cs="Arial"/>
          <w:i/>
          <w:color w:val="000000"/>
          <w:sz w:val="16"/>
          <w:szCs w:val="16"/>
        </w:rPr>
        <w:t xml:space="preserve">   </w:t>
      </w:r>
      <w:r w:rsidR="0014064C" w:rsidRPr="00042446">
        <w:rPr>
          <w:rFonts w:ascii="Arial" w:hAnsi="Arial" w:cs="Arial"/>
          <w:i/>
          <w:color w:val="000000"/>
          <w:sz w:val="14"/>
          <w:szCs w:val="14"/>
        </w:rPr>
        <w:t xml:space="preserve">Fuente: Plan de mejoramiento </w:t>
      </w:r>
      <w:r w:rsidR="00ED62F2" w:rsidRPr="00042446">
        <w:rPr>
          <w:rFonts w:ascii="Arial" w:hAnsi="Arial" w:cs="Arial"/>
          <w:i/>
          <w:color w:val="000000"/>
          <w:sz w:val="14"/>
          <w:szCs w:val="14"/>
        </w:rPr>
        <w:t>–</w:t>
      </w:r>
      <w:r w:rsidR="0014064C" w:rsidRPr="00042446">
        <w:rPr>
          <w:rFonts w:ascii="Arial" w:hAnsi="Arial" w:cs="Arial"/>
          <w:i/>
          <w:color w:val="000000"/>
          <w:sz w:val="14"/>
          <w:szCs w:val="14"/>
        </w:rPr>
        <w:t xml:space="preserve"> SGI</w:t>
      </w:r>
    </w:p>
    <w:p w:rsidR="00ED62F2" w:rsidRPr="00042446" w:rsidRDefault="00ED62F2" w:rsidP="00C92428">
      <w:pPr>
        <w:rPr>
          <w:rFonts w:ascii="Arial" w:hAnsi="Arial" w:cs="Arial"/>
          <w:i/>
          <w:color w:val="000000"/>
          <w:sz w:val="14"/>
          <w:szCs w:val="14"/>
        </w:rPr>
      </w:pPr>
    </w:p>
    <w:p w:rsidR="00ED62F2" w:rsidRDefault="00ED62F2" w:rsidP="00C92428">
      <w:pPr>
        <w:rPr>
          <w:rFonts w:ascii="Arial" w:hAnsi="Arial" w:cs="Arial"/>
          <w:i/>
          <w:color w:val="000000"/>
          <w:sz w:val="16"/>
          <w:szCs w:val="16"/>
        </w:rPr>
      </w:pPr>
    </w:p>
    <w:p w:rsidR="00ED62F2" w:rsidRDefault="00ED62F2" w:rsidP="00ED62F2">
      <w:pPr>
        <w:pStyle w:val="Prrafodelista"/>
        <w:numPr>
          <w:ilvl w:val="0"/>
          <w:numId w:val="19"/>
        </w:numPr>
        <w:rPr>
          <w:rFonts w:ascii="Arial" w:hAnsi="Arial" w:cs="Arial"/>
          <w:b/>
          <w:color w:val="404040"/>
        </w:rPr>
      </w:pPr>
      <w:r>
        <w:rPr>
          <w:rFonts w:ascii="Arial" w:hAnsi="Arial" w:cs="Arial"/>
          <w:b/>
          <w:color w:val="404040"/>
        </w:rPr>
        <w:t>Inventarios</w:t>
      </w:r>
    </w:p>
    <w:p w:rsidR="00ED62F2" w:rsidRDefault="00ED62F2" w:rsidP="00ED62F2">
      <w:pPr>
        <w:rPr>
          <w:rFonts w:ascii="Arial" w:hAnsi="Arial" w:cs="Arial"/>
          <w:b/>
          <w:color w:val="404040"/>
        </w:rPr>
      </w:pPr>
    </w:p>
    <w:p w:rsidR="00ED62F2" w:rsidRDefault="008565F8" w:rsidP="008565F8">
      <w:pPr>
        <w:jc w:val="both"/>
        <w:rPr>
          <w:rFonts w:ascii="Arial" w:hAnsi="Arial" w:cs="Arial"/>
          <w:color w:val="000000"/>
        </w:rPr>
      </w:pPr>
      <w:r>
        <w:rPr>
          <w:rFonts w:ascii="Arial" w:hAnsi="Arial" w:cs="Arial"/>
          <w:color w:val="000000"/>
        </w:rPr>
        <w:t>Entre los meses de mayo y junio el</w:t>
      </w:r>
      <w:r w:rsidRPr="008565F8">
        <w:rPr>
          <w:rFonts w:ascii="Arial" w:hAnsi="Arial" w:cs="Arial"/>
          <w:color w:val="000000"/>
        </w:rPr>
        <w:t xml:space="preserve"> Grupo de Gestión Administrativa</w:t>
      </w:r>
      <w:r>
        <w:rPr>
          <w:rFonts w:ascii="Arial" w:hAnsi="Arial" w:cs="Arial"/>
          <w:color w:val="000000"/>
        </w:rPr>
        <w:t>, llev</w:t>
      </w:r>
      <w:r w:rsidR="00042446">
        <w:rPr>
          <w:rFonts w:ascii="Arial" w:hAnsi="Arial" w:cs="Arial"/>
          <w:color w:val="000000"/>
        </w:rPr>
        <w:t>ó</w:t>
      </w:r>
      <w:r>
        <w:rPr>
          <w:rFonts w:ascii="Arial" w:hAnsi="Arial" w:cs="Arial"/>
          <w:color w:val="000000"/>
        </w:rPr>
        <w:t xml:space="preserve"> a cabo la toma física del 100% de los inventarios de Función Pública (activos fijos y elementos de control)</w:t>
      </w:r>
      <w:r w:rsidR="0058187A">
        <w:rPr>
          <w:rFonts w:ascii="Arial" w:hAnsi="Arial" w:cs="Arial"/>
          <w:color w:val="000000"/>
        </w:rPr>
        <w:t>, los cuales fueron constatados con los reportes contables</w:t>
      </w:r>
      <w:r>
        <w:rPr>
          <w:rFonts w:ascii="Arial" w:hAnsi="Arial" w:cs="Arial"/>
          <w:color w:val="000000"/>
        </w:rPr>
        <w:t>,</w:t>
      </w:r>
      <w:r w:rsidR="0058187A">
        <w:rPr>
          <w:rFonts w:ascii="Arial" w:hAnsi="Arial" w:cs="Arial"/>
          <w:color w:val="000000"/>
        </w:rPr>
        <w:t xml:space="preserve"> estableciéndose las siguientes diferencias:</w:t>
      </w:r>
    </w:p>
    <w:p w:rsidR="00873446" w:rsidRDefault="00873446" w:rsidP="008565F8">
      <w:pPr>
        <w:jc w:val="both"/>
        <w:rPr>
          <w:rFonts w:ascii="Arial" w:hAnsi="Arial" w:cs="Arial"/>
          <w:color w:val="000000"/>
        </w:rPr>
      </w:pPr>
    </w:p>
    <w:tbl>
      <w:tblPr>
        <w:tblStyle w:val="Listavistosa-nfasis2"/>
        <w:tblW w:w="0" w:type="auto"/>
        <w:tblLook w:val="04A0" w:firstRow="1" w:lastRow="0" w:firstColumn="1" w:lastColumn="0" w:noHBand="0" w:noVBand="1"/>
      </w:tblPr>
      <w:tblGrid>
        <w:gridCol w:w="2376"/>
        <w:gridCol w:w="3765"/>
        <w:gridCol w:w="3071"/>
      </w:tblGrid>
      <w:tr w:rsidR="00873446" w:rsidTr="004F05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0C3229" w:rsidRDefault="000C3229" w:rsidP="003761BD">
            <w:pPr>
              <w:jc w:val="center"/>
              <w:rPr>
                <w:rFonts w:ascii="Arial" w:hAnsi="Arial" w:cs="Arial"/>
                <w:sz w:val="20"/>
                <w:szCs w:val="20"/>
              </w:rPr>
            </w:pPr>
          </w:p>
          <w:p w:rsidR="00873446" w:rsidRPr="000C3229" w:rsidRDefault="00873446" w:rsidP="00185684">
            <w:pPr>
              <w:jc w:val="center"/>
              <w:rPr>
                <w:rFonts w:ascii="Arial" w:hAnsi="Arial" w:cs="Arial"/>
                <w:sz w:val="20"/>
                <w:szCs w:val="20"/>
              </w:rPr>
            </w:pPr>
            <w:r w:rsidRPr="000C3229">
              <w:rPr>
                <w:rFonts w:ascii="Arial" w:hAnsi="Arial" w:cs="Arial"/>
                <w:sz w:val="20"/>
                <w:szCs w:val="20"/>
              </w:rPr>
              <w:t>P</w:t>
            </w:r>
            <w:r w:rsidR="00185684">
              <w:rPr>
                <w:rFonts w:ascii="Arial" w:hAnsi="Arial" w:cs="Arial"/>
                <w:sz w:val="20"/>
                <w:szCs w:val="20"/>
              </w:rPr>
              <w:t>laca</w:t>
            </w:r>
          </w:p>
        </w:tc>
        <w:tc>
          <w:tcPr>
            <w:tcW w:w="3765" w:type="dxa"/>
          </w:tcPr>
          <w:p w:rsidR="000C3229" w:rsidRDefault="000C3229" w:rsidP="003761B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873446" w:rsidRPr="000C3229" w:rsidRDefault="003761BD" w:rsidP="0018568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C3229">
              <w:rPr>
                <w:rFonts w:ascii="Arial" w:hAnsi="Arial" w:cs="Arial"/>
                <w:sz w:val="20"/>
                <w:szCs w:val="20"/>
              </w:rPr>
              <w:t>D</w:t>
            </w:r>
            <w:r w:rsidR="00185684">
              <w:rPr>
                <w:rFonts w:ascii="Arial" w:hAnsi="Arial" w:cs="Arial"/>
                <w:sz w:val="20"/>
                <w:szCs w:val="20"/>
              </w:rPr>
              <w:t>escripción</w:t>
            </w:r>
          </w:p>
        </w:tc>
        <w:tc>
          <w:tcPr>
            <w:tcW w:w="3071" w:type="dxa"/>
          </w:tcPr>
          <w:p w:rsidR="000C3229" w:rsidRDefault="000C3229" w:rsidP="003761BD">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p>
          <w:p w:rsidR="00873446" w:rsidRPr="000C3229" w:rsidRDefault="003761BD" w:rsidP="00185684">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0"/>
              </w:rPr>
            </w:pPr>
            <w:r w:rsidRPr="000C3229">
              <w:rPr>
                <w:rFonts w:ascii="Arial" w:hAnsi="Arial" w:cs="Arial"/>
                <w:sz w:val="20"/>
                <w:szCs w:val="20"/>
              </w:rPr>
              <w:t>V</w:t>
            </w:r>
            <w:r w:rsidR="00185684">
              <w:rPr>
                <w:rFonts w:ascii="Arial" w:hAnsi="Arial" w:cs="Arial"/>
                <w:sz w:val="20"/>
                <w:szCs w:val="20"/>
              </w:rPr>
              <w:t>alor de Compra</w:t>
            </w:r>
          </w:p>
        </w:tc>
      </w:tr>
      <w:tr w:rsidR="00873446" w:rsidTr="004F0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76" w:type="dxa"/>
          </w:tcPr>
          <w:p w:rsidR="004F05DC" w:rsidRPr="003C25BF" w:rsidRDefault="004F05DC" w:rsidP="003761BD">
            <w:pPr>
              <w:jc w:val="center"/>
              <w:rPr>
                <w:rFonts w:cs="Times New Roman"/>
                <w:b w:val="0"/>
                <w:sz w:val="20"/>
                <w:szCs w:val="20"/>
              </w:rPr>
            </w:pPr>
          </w:p>
          <w:p w:rsidR="00873446" w:rsidRPr="003C25BF" w:rsidRDefault="003761BD" w:rsidP="003761BD">
            <w:pPr>
              <w:jc w:val="center"/>
              <w:rPr>
                <w:rFonts w:cs="Arial"/>
                <w:b w:val="0"/>
                <w:color w:val="000000"/>
                <w:sz w:val="20"/>
                <w:szCs w:val="20"/>
              </w:rPr>
            </w:pPr>
            <w:r w:rsidRPr="003C25BF">
              <w:rPr>
                <w:rFonts w:cs="Times New Roman"/>
                <w:b w:val="0"/>
                <w:sz w:val="20"/>
                <w:szCs w:val="20"/>
              </w:rPr>
              <w:t>19223</w:t>
            </w:r>
          </w:p>
        </w:tc>
        <w:tc>
          <w:tcPr>
            <w:tcW w:w="3765" w:type="dxa"/>
          </w:tcPr>
          <w:p w:rsidR="00873446" w:rsidRPr="003C25BF" w:rsidRDefault="003761BD" w:rsidP="005D61E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imes New Roman"/>
                <w:sz w:val="18"/>
                <w:szCs w:val="18"/>
              </w:rPr>
            </w:pPr>
            <w:r w:rsidRPr="003C25BF">
              <w:rPr>
                <w:rFonts w:cs="Times New Roman"/>
                <w:sz w:val="18"/>
                <w:szCs w:val="18"/>
              </w:rPr>
              <w:t xml:space="preserve">COMPUTADOR PORTÁ11L - H.P. PRO-OOK 4530 S. DE 15.6 PROCESADOR INTEL ( </w:t>
            </w:r>
            <w:r w:rsidRPr="003C25BF">
              <w:rPr>
                <w:rFonts w:cs="Arial"/>
                <w:sz w:val="18"/>
                <w:szCs w:val="18"/>
              </w:rPr>
              <w:t xml:space="preserve">R </w:t>
            </w:r>
            <w:r w:rsidRPr="003C25BF">
              <w:rPr>
                <w:rFonts w:cs="Times New Roman"/>
                <w:sz w:val="18"/>
                <w:szCs w:val="18"/>
              </w:rPr>
              <w:t xml:space="preserve">) CORE </w:t>
            </w:r>
          </w:p>
          <w:p w:rsidR="000C3229" w:rsidRPr="003C25BF" w:rsidRDefault="000C3229" w:rsidP="005D61E9">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Arial"/>
                <w:color w:val="000000"/>
              </w:rPr>
            </w:pPr>
          </w:p>
        </w:tc>
        <w:tc>
          <w:tcPr>
            <w:tcW w:w="3071" w:type="dxa"/>
          </w:tcPr>
          <w:p w:rsidR="00873446" w:rsidRPr="003C25BF" w:rsidRDefault="003761BD" w:rsidP="003761BD">
            <w:pPr>
              <w:jc w:val="center"/>
              <w:cnfStyle w:val="000000100000" w:firstRow="0" w:lastRow="0" w:firstColumn="0" w:lastColumn="0" w:oddVBand="0" w:evenVBand="0" w:oddHBand="1" w:evenHBand="0" w:firstRowFirstColumn="0" w:firstRowLastColumn="0" w:lastRowFirstColumn="0" w:lastRowLastColumn="0"/>
              <w:rPr>
                <w:rFonts w:cs="Arial"/>
                <w:color w:val="000000"/>
              </w:rPr>
            </w:pPr>
            <w:r w:rsidRPr="003C25BF">
              <w:rPr>
                <w:rFonts w:cs="Times New Roman"/>
                <w:sz w:val="20"/>
                <w:szCs w:val="20"/>
              </w:rPr>
              <w:t>$2.745.520,00</w:t>
            </w:r>
          </w:p>
        </w:tc>
      </w:tr>
      <w:tr w:rsidR="00873446" w:rsidTr="004F05DC">
        <w:tc>
          <w:tcPr>
            <w:cnfStyle w:val="001000000000" w:firstRow="0" w:lastRow="0" w:firstColumn="1" w:lastColumn="0" w:oddVBand="0" w:evenVBand="0" w:oddHBand="0" w:evenHBand="0" w:firstRowFirstColumn="0" w:firstRowLastColumn="0" w:lastRowFirstColumn="0" w:lastRowLastColumn="0"/>
            <w:tcW w:w="2376" w:type="dxa"/>
          </w:tcPr>
          <w:p w:rsidR="00EF4ED0" w:rsidRPr="003C25BF" w:rsidRDefault="00EF4ED0" w:rsidP="003761BD">
            <w:pPr>
              <w:jc w:val="center"/>
              <w:rPr>
                <w:rFonts w:cs="Times New Roman"/>
                <w:b w:val="0"/>
                <w:sz w:val="20"/>
                <w:szCs w:val="20"/>
              </w:rPr>
            </w:pPr>
          </w:p>
          <w:p w:rsidR="00873446" w:rsidRPr="003C25BF" w:rsidRDefault="003761BD" w:rsidP="003761BD">
            <w:pPr>
              <w:jc w:val="center"/>
              <w:rPr>
                <w:rFonts w:cs="Arial"/>
                <w:b w:val="0"/>
                <w:color w:val="000000"/>
              </w:rPr>
            </w:pPr>
            <w:r w:rsidRPr="003C25BF">
              <w:rPr>
                <w:rFonts w:cs="Times New Roman"/>
                <w:b w:val="0"/>
                <w:sz w:val="20"/>
                <w:szCs w:val="20"/>
              </w:rPr>
              <w:t>21603</w:t>
            </w:r>
          </w:p>
        </w:tc>
        <w:tc>
          <w:tcPr>
            <w:tcW w:w="3765" w:type="dxa"/>
          </w:tcPr>
          <w:p w:rsidR="00873446" w:rsidRPr="003C25BF" w:rsidRDefault="003761BD" w:rsidP="005D61E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3C25BF">
              <w:rPr>
                <w:rFonts w:cs="Times New Roman"/>
                <w:sz w:val="18"/>
                <w:szCs w:val="18"/>
              </w:rPr>
              <w:t>COMPUTÁDOR PORTÁTIL -</w:t>
            </w:r>
            <w:r w:rsidR="008573C9" w:rsidRPr="003C25BF">
              <w:rPr>
                <w:rFonts w:cs="Times New Roman"/>
                <w:sz w:val="18"/>
                <w:szCs w:val="18"/>
              </w:rPr>
              <w:t xml:space="preserve"> </w:t>
            </w:r>
            <w:r w:rsidRPr="003C25BF">
              <w:rPr>
                <w:rFonts w:cs="Times New Roman"/>
                <w:sz w:val="18"/>
                <w:szCs w:val="18"/>
              </w:rPr>
              <w:t>THINKPAD T440P LENOVO INTEL</w:t>
            </w:r>
            <w:r w:rsidR="008573C9" w:rsidRPr="003C25BF">
              <w:rPr>
                <w:rFonts w:cs="Times New Roman"/>
                <w:sz w:val="18"/>
                <w:szCs w:val="18"/>
              </w:rPr>
              <w:t xml:space="preserve"> </w:t>
            </w:r>
            <w:r w:rsidRPr="003C25BF">
              <w:rPr>
                <w:rFonts w:cs="Times New Roman"/>
                <w:sz w:val="18"/>
                <w:szCs w:val="18"/>
              </w:rPr>
              <w:t>CORE 15 4koOM CON 2 NÚCLEOS</w:t>
            </w:r>
          </w:p>
          <w:p w:rsidR="000C3229" w:rsidRPr="003C25BF" w:rsidRDefault="000C3229" w:rsidP="005D61E9">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sz w:val="18"/>
                <w:szCs w:val="18"/>
              </w:rPr>
            </w:pPr>
          </w:p>
        </w:tc>
        <w:tc>
          <w:tcPr>
            <w:tcW w:w="3071" w:type="dxa"/>
          </w:tcPr>
          <w:p w:rsidR="00873446" w:rsidRPr="003C25BF" w:rsidRDefault="008573C9" w:rsidP="008573C9">
            <w:pPr>
              <w:jc w:val="center"/>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3C25BF">
              <w:rPr>
                <w:rFonts w:cs="Times New Roman"/>
                <w:sz w:val="20"/>
                <w:szCs w:val="20"/>
              </w:rPr>
              <w:t>$3.038.160,00</w:t>
            </w:r>
          </w:p>
        </w:tc>
      </w:tr>
      <w:tr w:rsidR="008573C9" w:rsidTr="004F0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3"/>
          </w:tcPr>
          <w:p w:rsidR="004F05DC" w:rsidRPr="003C25BF" w:rsidRDefault="00EF4ED0" w:rsidP="004F05DC">
            <w:pPr>
              <w:jc w:val="both"/>
              <w:rPr>
                <w:rFonts w:cs="Times New Roman"/>
                <w:b w:val="0"/>
                <w:sz w:val="20"/>
                <w:szCs w:val="20"/>
              </w:rPr>
            </w:pPr>
            <w:r w:rsidRPr="003C25BF">
              <w:rPr>
                <w:rFonts w:cs="Times New Roman"/>
                <w:b w:val="0"/>
                <w:sz w:val="20"/>
                <w:szCs w:val="20"/>
              </w:rPr>
              <w:t xml:space="preserve">NOTA: Estos activos </w:t>
            </w:r>
            <w:r w:rsidR="005D61E9" w:rsidRPr="003C25BF">
              <w:rPr>
                <w:rFonts w:cs="Times New Roman"/>
                <w:b w:val="0"/>
                <w:sz w:val="20"/>
                <w:szCs w:val="20"/>
              </w:rPr>
              <w:t>se llevaron a la cuenta 836101001- Responsabilidades en procesos internos</w:t>
            </w:r>
          </w:p>
          <w:p w:rsidR="004F05DC" w:rsidRPr="003C25BF" w:rsidRDefault="004F05DC" w:rsidP="004F05DC">
            <w:pPr>
              <w:jc w:val="both"/>
              <w:rPr>
                <w:rFonts w:cs="Arial"/>
                <w:b w:val="0"/>
                <w:color w:val="000000"/>
                <w:sz w:val="20"/>
                <w:szCs w:val="20"/>
              </w:rPr>
            </w:pPr>
          </w:p>
        </w:tc>
      </w:tr>
      <w:tr w:rsidR="008573C9" w:rsidTr="004F05DC">
        <w:tc>
          <w:tcPr>
            <w:cnfStyle w:val="001000000000" w:firstRow="0" w:lastRow="0" w:firstColumn="1" w:lastColumn="0" w:oddVBand="0" w:evenVBand="0" w:oddHBand="0" w:evenHBand="0" w:firstRowFirstColumn="0" w:firstRowLastColumn="0" w:lastRowFirstColumn="0" w:lastRowLastColumn="0"/>
            <w:tcW w:w="2376" w:type="dxa"/>
          </w:tcPr>
          <w:p w:rsidR="004F05DC" w:rsidRPr="003C25BF" w:rsidRDefault="004F05DC" w:rsidP="004F05DC">
            <w:pPr>
              <w:jc w:val="center"/>
              <w:rPr>
                <w:rFonts w:cs="Times New Roman"/>
                <w:b w:val="0"/>
                <w:sz w:val="20"/>
                <w:szCs w:val="20"/>
              </w:rPr>
            </w:pPr>
          </w:p>
          <w:p w:rsidR="008573C9" w:rsidRPr="003C25BF" w:rsidRDefault="004F05DC" w:rsidP="004F05DC">
            <w:pPr>
              <w:jc w:val="center"/>
              <w:rPr>
                <w:rFonts w:cs="Arial"/>
                <w:b w:val="0"/>
                <w:color w:val="000000"/>
              </w:rPr>
            </w:pPr>
            <w:r w:rsidRPr="003C25BF">
              <w:rPr>
                <w:rFonts w:cs="Times New Roman"/>
                <w:b w:val="0"/>
                <w:sz w:val="20"/>
                <w:szCs w:val="20"/>
              </w:rPr>
              <w:t>12968</w:t>
            </w:r>
          </w:p>
        </w:tc>
        <w:tc>
          <w:tcPr>
            <w:tcW w:w="3765" w:type="dxa"/>
          </w:tcPr>
          <w:p w:rsidR="008573C9" w:rsidRPr="003C25BF" w:rsidRDefault="004F05DC" w:rsidP="004F05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3C25BF">
              <w:rPr>
                <w:rFonts w:cs="Times New Roman"/>
                <w:sz w:val="18"/>
                <w:szCs w:val="18"/>
              </w:rPr>
              <w:t>EQUIPO DE COMUNICACIÓN -60 M</w:t>
            </w:r>
          </w:p>
          <w:p w:rsidR="004F05DC" w:rsidRPr="003C25BF" w:rsidRDefault="004F05DC" w:rsidP="004F05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imes New Roman"/>
                <w:sz w:val="18"/>
                <w:szCs w:val="18"/>
              </w:rPr>
            </w:pPr>
            <w:r w:rsidRPr="003C25BF">
              <w:rPr>
                <w:rFonts w:cs="Times New Roman"/>
                <w:sz w:val="18"/>
                <w:szCs w:val="18"/>
              </w:rPr>
              <w:t>CHALLENGER CON AMPLIFICADOR DE 160WATS 1 1/01/2001 1.081.584,53 1 MAS10C</w:t>
            </w:r>
          </w:p>
          <w:p w:rsidR="000C3229" w:rsidRPr="003C25BF" w:rsidRDefault="000C3229" w:rsidP="004F05DC">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Arial"/>
                <w:color w:val="000000"/>
              </w:rPr>
            </w:pPr>
          </w:p>
        </w:tc>
        <w:tc>
          <w:tcPr>
            <w:tcW w:w="3071" w:type="dxa"/>
          </w:tcPr>
          <w:p w:rsidR="008573C9" w:rsidRPr="003C25BF" w:rsidRDefault="004F05DC" w:rsidP="004F05DC">
            <w:pPr>
              <w:jc w:val="center"/>
              <w:cnfStyle w:val="000000000000" w:firstRow="0" w:lastRow="0" w:firstColumn="0" w:lastColumn="0" w:oddVBand="0" w:evenVBand="0" w:oddHBand="0" w:evenHBand="0" w:firstRowFirstColumn="0" w:firstRowLastColumn="0" w:lastRowFirstColumn="0" w:lastRowLastColumn="0"/>
              <w:rPr>
                <w:rFonts w:cs="Arial"/>
                <w:color w:val="000000"/>
              </w:rPr>
            </w:pPr>
            <w:r w:rsidRPr="003C25BF">
              <w:rPr>
                <w:rFonts w:cs="Times New Roman"/>
                <w:sz w:val="20"/>
                <w:szCs w:val="20"/>
              </w:rPr>
              <w:t>$</w:t>
            </w:r>
            <w:r w:rsidRPr="003C25BF">
              <w:rPr>
                <w:rFonts w:cs="Times New Roman"/>
                <w:color w:val="auto"/>
                <w:sz w:val="20"/>
                <w:szCs w:val="20"/>
              </w:rPr>
              <w:t>1.081.584.53</w:t>
            </w:r>
          </w:p>
        </w:tc>
      </w:tr>
      <w:tr w:rsidR="004F05DC" w:rsidRPr="004F05DC" w:rsidTr="004F05D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212" w:type="dxa"/>
            <w:gridSpan w:val="3"/>
          </w:tcPr>
          <w:p w:rsidR="004F05DC" w:rsidRPr="003C25BF" w:rsidRDefault="004F05DC" w:rsidP="004F05DC">
            <w:pPr>
              <w:rPr>
                <w:rFonts w:cs="Times New Roman"/>
                <w:b w:val="0"/>
                <w:sz w:val="20"/>
                <w:szCs w:val="20"/>
              </w:rPr>
            </w:pPr>
            <w:r w:rsidRPr="003C25BF">
              <w:rPr>
                <w:rFonts w:cs="Times New Roman"/>
                <w:b w:val="0"/>
                <w:sz w:val="20"/>
                <w:szCs w:val="20"/>
              </w:rPr>
              <w:t>Este elemento se encuentra en proceso de verificación</w:t>
            </w:r>
          </w:p>
          <w:p w:rsidR="004F05DC" w:rsidRPr="003C25BF" w:rsidRDefault="004F05DC" w:rsidP="004F05DC">
            <w:pPr>
              <w:rPr>
                <w:rFonts w:cs="Times New Roman"/>
                <w:b w:val="0"/>
                <w:sz w:val="20"/>
                <w:szCs w:val="20"/>
              </w:rPr>
            </w:pPr>
          </w:p>
        </w:tc>
      </w:tr>
    </w:tbl>
    <w:p w:rsidR="000C3229" w:rsidRPr="00042446" w:rsidRDefault="004F05DC" w:rsidP="008565F8">
      <w:pPr>
        <w:jc w:val="both"/>
        <w:rPr>
          <w:rFonts w:ascii="Arial" w:hAnsi="Arial" w:cs="Arial"/>
          <w:i/>
          <w:color w:val="000000"/>
          <w:sz w:val="14"/>
          <w:szCs w:val="14"/>
        </w:rPr>
      </w:pPr>
      <w:r w:rsidRPr="00042446">
        <w:rPr>
          <w:rFonts w:ascii="Arial" w:hAnsi="Arial" w:cs="Arial"/>
          <w:i/>
          <w:color w:val="000000"/>
          <w:sz w:val="14"/>
          <w:szCs w:val="14"/>
        </w:rPr>
        <w:t>Fuente:</w:t>
      </w:r>
      <w:r w:rsidR="000C3229" w:rsidRPr="00042446">
        <w:rPr>
          <w:rFonts w:ascii="Arial" w:hAnsi="Arial" w:cs="Arial"/>
          <w:i/>
          <w:color w:val="000000"/>
          <w:sz w:val="14"/>
          <w:szCs w:val="14"/>
        </w:rPr>
        <w:t xml:space="preserve"> informe verificación física inventarios primer semestre</w:t>
      </w:r>
    </w:p>
    <w:p w:rsidR="000C3229" w:rsidRDefault="000C3229" w:rsidP="008565F8">
      <w:pPr>
        <w:jc w:val="both"/>
        <w:rPr>
          <w:rFonts w:ascii="Arial" w:hAnsi="Arial" w:cs="Arial"/>
          <w:i/>
          <w:color w:val="000000"/>
          <w:sz w:val="16"/>
          <w:szCs w:val="16"/>
        </w:rPr>
      </w:pPr>
    </w:p>
    <w:p w:rsidR="000C3229" w:rsidRDefault="000C3229" w:rsidP="008565F8">
      <w:pPr>
        <w:jc w:val="both"/>
        <w:rPr>
          <w:rFonts w:ascii="Arial" w:hAnsi="Arial" w:cs="Arial"/>
          <w:color w:val="000000"/>
        </w:rPr>
      </w:pPr>
      <w:r>
        <w:rPr>
          <w:rFonts w:ascii="Arial" w:hAnsi="Arial" w:cs="Arial"/>
          <w:color w:val="000000"/>
        </w:rPr>
        <w:t xml:space="preserve">Actualmente los grupos de Gestión Administrativa y </w:t>
      </w:r>
      <w:r w:rsidRPr="000C3229">
        <w:rPr>
          <w:rFonts w:ascii="Arial" w:hAnsi="Arial" w:cs="Arial"/>
          <w:color w:val="000000"/>
        </w:rPr>
        <w:t xml:space="preserve"> </w:t>
      </w:r>
      <w:r>
        <w:rPr>
          <w:rFonts w:ascii="Arial" w:hAnsi="Arial" w:cs="Arial"/>
          <w:color w:val="000000"/>
        </w:rPr>
        <w:t>Gestión Financiera, se encuentran adelantando la segunda toma física de inventarios.</w:t>
      </w:r>
    </w:p>
    <w:p w:rsidR="000C3229" w:rsidRDefault="000C3229" w:rsidP="000C3229">
      <w:pPr>
        <w:pStyle w:val="Prrafodelista"/>
        <w:numPr>
          <w:ilvl w:val="0"/>
          <w:numId w:val="19"/>
        </w:numPr>
        <w:rPr>
          <w:rFonts w:ascii="Arial" w:hAnsi="Arial" w:cs="Arial"/>
          <w:b/>
          <w:color w:val="404040"/>
        </w:rPr>
      </w:pPr>
      <w:r>
        <w:rPr>
          <w:rFonts w:ascii="Arial" w:hAnsi="Arial" w:cs="Arial"/>
          <w:b/>
          <w:color w:val="404040"/>
        </w:rPr>
        <w:t>Baja de activos</w:t>
      </w:r>
    </w:p>
    <w:p w:rsidR="003C25BF" w:rsidRDefault="003C25BF" w:rsidP="003C25BF">
      <w:pPr>
        <w:rPr>
          <w:rFonts w:ascii="Arial" w:hAnsi="Arial" w:cs="Arial"/>
          <w:b/>
          <w:color w:val="404040"/>
        </w:rPr>
      </w:pPr>
    </w:p>
    <w:p w:rsidR="00164870" w:rsidRPr="00BF1F3A" w:rsidRDefault="0041074C" w:rsidP="00164870">
      <w:pPr>
        <w:jc w:val="both"/>
        <w:rPr>
          <w:rFonts w:ascii="Arial" w:hAnsi="Arial" w:cs="Arial"/>
          <w:color w:val="000000"/>
        </w:rPr>
      </w:pPr>
      <w:r w:rsidRPr="00BF1F3A">
        <w:rPr>
          <w:rFonts w:ascii="Arial" w:hAnsi="Arial" w:cs="Arial"/>
          <w:color w:val="000000"/>
        </w:rPr>
        <w:t xml:space="preserve">Mediante resolución </w:t>
      </w:r>
      <w:r w:rsidR="00BF1F3A" w:rsidRPr="00BF1F3A">
        <w:rPr>
          <w:rFonts w:ascii="Arial" w:hAnsi="Arial" w:cs="Arial"/>
          <w:color w:val="000000"/>
        </w:rPr>
        <w:t xml:space="preserve">No. </w:t>
      </w:r>
      <w:r w:rsidRPr="00BF1F3A">
        <w:rPr>
          <w:rFonts w:ascii="Arial" w:hAnsi="Arial" w:cs="Arial"/>
          <w:color w:val="000000"/>
        </w:rPr>
        <w:t>536 del 16 de septiembre de 2019 se ordenó dar de baja unos bienes muebles del Departamento Administrativo de la Función Pública por valor de $87.689.887.</w:t>
      </w:r>
      <w:r w:rsidR="00BF1F3A" w:rsidRPr="00BF1F3A">
        <w:rPr>
          <w:rFonts w:ascii="Arial" w:hAnsi="Arial" w:cs="Arial"/>
          <w:color w:val="000000"/>
        </w:rPr>
        <w:t>07 y</w:t>
      </w:r>
      <w:r w:rsidRPr="00BF1F3A">
        <w:rPr>
          <w:rFonts w:ascii="Arial" w:hAnsi="Arial" w:cs="Arial"/>
          <w:color w:val="000000"/>
        </w:rPr>
        <w:t xml:space="preserve"> se autorizó su destino final. Igualmente, m</w:t>
      </w:r>
      <w:r w:rsidR="00164870" w:rsidRPr="00BF1F3A">
        <w:rPr>
          <w:rFonts w:ascii="Arial" w:hAnsi="Arial" w:cs="Arial"/>
          <w:color w:val="000000"/>
        </w:rPr>
        <w:t xml:space="preserve">ediante oficios de fecha 25 de febrero de 2019, Función Pública devolvió a la Sociedad de Activos Especiales – SAE S.A.S, los vehículos relacionados a continuación, los cuales fueron registrados en documento - salida de almacén por baja de fecha 04-03-2019: </w:t>
      </w:r>
    </w:p>
    <w:p w:rsidR="00BF1F3A" w:rsidRPr="004937C8" w:rsidRDefault="00BF1F3A" w:rsidP="00164870">
      <w:pPr>
        <w:jc w:val="both"/>
        <w:rPr>
          <w:rFonts w:ascii="Arial" w:hAnsi="Arial" w:cs="Arial"/>
          <w:color w:val="0070C0"/>
        </w:rPr>
      </w:pPr>
    </w:p>
    <w:tbl>
      <w:tblPr>
        <w:tblStyle w:val="Listaclara-nfasis1"/>
        <w:tblW w:w="0" w:type="auto"/>
        <w:tblLook w:val="04A0" w:firstRow="1" w:lastRow="0" w:firstColumn="1" w:lastColumn="0" w:noHBand="0" w:noVBand="1"/>
      </w:tblPr>
      <w:tblGrid>
        <w:gridCol w:w="5935"/>
        <w:gridCol w:w="1534"/>
        <w:gridCol w:w="1583"/>
      </w:tblGrid>
      <w:tr w:rsidR="0087732C" w:rsidTr="00BF1F3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rsidR="0087732C" w:rsidRPr="0087732C" w:rsidRDefault="0087732C" w:rsidP="00E509F2">
            <w:pPr>
              <w:jc w:val="center"/>
              <w:rPr>
                <w:rFonts w:ascii="Arial" w:hAnsi="Arial" w:cs="Arial"/>
              </w:rPr>
            </w:pPr>
            <w:r w:rsidRPr="0087732C">
              <w:rPr>
                <w:rFonts w:ascii="Arial" w:hAnsi="Arial" w:cs="Arial"/>
              </w:rPr>
              <w:t>Elemento</w:t>
            </w:r>
          </w:p>
        </w:tc>
        <w:tc>
          <w:tcPr>
            <w:tcW w:w="1534" w:type="dxa"/>
          </w:tcPr>
          <w:p w:rsidR="0087732C" w:rsidRPr="0087732C" w:rsidRDefault="0087732C" w:rsidP="00E509F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7732C">
              <w:rPr>
                <w:rFonts w:ascii="Arial" w:hAnsi="Arial" w:cs="Arial"/>
              </w:rPr>
              <w:t>Placa</w:t>
            </w:r>
          </w:p>
        </w:tc>
        <w:tc>
          <w:tcPr>
            <w:tcW w:w="1583" w:type="dxa"/>
          </w:tcPr>
          <w:p w:rsidR="0087732C" w:rsidRPr="0087732C" w:rsidRDefault="0087732C" w:rsidP="00E509F2">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87732C">
              <w:rPr>
                <w:rFonts w:ascii="Arial" w:hAnsi="Arial" w:cs="Arial"/>
              </w:rPr>
              <w:t>Valor</w:t>
            </w:r>
          </w:p>
        </w:tc>
      </w:tr>
      <w:tr w:rsidR="0087732C" w:rsidRPr="003C25BF" w:rsidTr="00BF1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rsidR="0087732C" w:rsidRPr="0087732C" w:rsidRDefault="0087732C" w:rsidP="0087732C">
            <w:pPr>
              <w:autoSpaceDE w:val="0"/>
              <w:autoSpaceDN w:val="0"/>
              <w:adjustRightInd w:val="0"/>
              <w:rPr>
                <w:rFonts w:ascii="Arial" w:hAnsi="Arial" w:cs="Arial"/>
                <w:b w:val="0"/>
                <w:sz w:val="18"/>
                <w:szCs w:val="18"/>
              </w:rPr>
            </w:pPr>
            <w:r w:rsidRPr="0087732C">
              <w:rPr>
                <w:rFonts w:ascii="Arial" w:hAnsi="Arial" w:cs="Arial"/>
                <w:b w:val="0"/>
                <w:sz w:val="18"/>
                <w:szCs w:val="18"/>
              </w:rPr>
              <w:t>305 - AUTOMOVIL - AUTOMOVIL - CHEVROLET OPTRA LI8MITES AUTOMÁTICO COLOR BLANCO 4 PUERTAS NÚMERO DE MOTOR TI8SED190707 NUMERO DE SERIE 9GAJM52367B074951. PLACAS IAN-96M DE VENEZUELA</w:t>
            </w:r>
          </w:p>
        </w:tc>
        <w:tc>
          <w:tcPr>
            <w:tcW w:w="1534" w:type="dxa"/>
          </w:tcPr>
          <w:p w:rsidR="0087732C" w:rsidRPr="0087732C" w:rsidRDefault="0087732C" w:rsidP="00E509F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7732C">
              <w:rPr>
                <w:rFonts w:ascii="Arial" w:hAnsi="Arial" w:cs="Arial"/>
                <w:sz w:val="18"/>
                <w:szCs w:val="18"/>
              </w:rPr>
              <w:t>18833</w:t>
            </w:r>
          </w:p>
        </w:tc>
        <w:tc>
          <w:tcPr>
            <w:tcW w:w="1583" w:type="dxa"/>
          </w:tcPr>
          <w:p w:rsidR="0087732C" w:rsidRPr="0087732C" w:rsidRDefault="0087732C" w:rsidP="00E509F2">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87732C">
              <w:rPr>
                <w:rFonts w:ascii="Arial" w:hAnsi="Arial" w:cs="Arial"/>
                <w:sz w:val="18"/>
                <w:szCs w:val="18"/>
              </w:rPr>
              <w:t>41,000,000</w:t>
            </w:r>
          </w:p>
        </w:tc>
      </w:tr>
      <w:tr w:rsidR="0087732C" w:rsidTr="00BF1F3A">
        <w:tc>
          <w:tcPr>
            <w:cnfStyle w:val="001000000000" w:firstRow="0" w:lastRow="0" w:firstColumn="1" w:lastColumn="0" w:oddVBand="0" w:evenVBand="0" w:oddHBand="0" w:evenHBand="0" w:firstRowFirstColumn="0" w:firstRowLastColumn="0" w:lastRowFirstColumn="0" w:lastRowLastColumn="0"/>
            <w:tcW w:w="5935" w:type="dxa"/>
          </w:tcPr>
          <w:p w:rsidR="0087732C" w:rsidRPr="0087732C" w:rsidRDefault="0087732C" w:rsidP="0087732C">
            <w:pPr>
              <w:autoSpaceDE w:val="0"/>
              <w:autoSpaceDN w:val="0"/>
              <w:adjustRightInd w:val="0"/>
              <w:rPr>
                <w:rFonts w:ascii="Arial" w:hAnsi="Arial" w:cs="Arial"/>
                <w:b w:val="0"/>
                <w:sz w:val="18"/>
                <w:szCs w:val="18"/>
              </w:rPr>
            </w:pPr>
            <w:r w:rsidRPr="0087732C">
              <w:rPr>
                <w:rFonts w:ascii="Arial" w:hAnsi="Arial" w:cs="Arial"/>
                <w:b w:val="0"/>
                <w:sz w:val="18"/>
                <w:szCs w:val="18"/>
              </w:rPr>
              <w:t>305 - AUTOMOVIL - - SEDAN NISSSAN TIIDA HATCHBACK MECANICO MODELO 2008 BLANCO PLACAS CVT 044 MOTOR NO. MR18DE 1798 RS6F94R GC39</w:t>
            </w:r>
          </w:p>
        </w:tc>
        <w:tc>
          <w:tcPr>
            <w:tcW w:w="1534" w:type="dxa"/>
          </w:tcPr>
          <w:p w:rsidR="0087732C" w:rsidRPr="0087732C" w:rsidRDefault="0087732C" w:rsidP="00E509F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7732C">
              <w:rPr>
                <w:rFonts w:ascii="Arial" w:hAnsi="Arial" w:cs="Arial"/>
                <w:sz w:val="18"/>
                <w:szCs w:val="18"/>
              </w:rPr>
              <w:t>18873</w:t>
            </w:r>
          </w:p>
        </w:tc>
        <w:tc>
          <w:tcPr>
            <w:tcW w:w="1583" w:type="dxa"/>
          </w:tcPr>
          <w:p w:rsidR="0087732C" w:rsidRPr="0087732C" w:rsidRDefault="0087732C" w:rsidP="00E509F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87732C">
              <w:rPr>
                <w:rFonts w:ascii="Arial" w:hAnsi="Arial" w:cs="Arial"/>
                <w:sz w:val="18"/>
                <w:szCs w:val="18"/>
              </w:rPr>
              <w:t>44,500,000</w:t>
            </w:r>
          </w:p>
        </w:tc>
      </w:tr>
      <w:tr w:rsidR="0087732C" w:rsidTr="00BF1F3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35" w:type="dxa"/>
          </w:tcPr>
          <w:p w:rsidR="0087732C" w:rsidRDefault="0087732C" w:rsidP="0087732C">
            <w:pPr>
              <w:rPr>
                <w:rFonts w:ascii="Arial" w:hAnsi="Arial" w:cs="Arial"/>
                <w:color w:val="000000"/>
              </w:rPr>
            </w:pPr>
            <w:r w:rsidRPr="0087732C">
              <w:rPr>
                <w:rFonts w:ascii="Arial" w:hAnsi="Arial" w:cs="Arial"/>
                <w:b w:val="0"/>
                <w:color w:val="000000"/>
                <w:sz w:val="20"/>
                <w:szCs w:val="20"/>
              </w:rPr>
              <w:t>TOTAL</w:t>
            </w:r>
          </w:p>
        </w:tc>
        <w:tc>
          <w:tcPr>
            <w:tcW w:w="1534" w:type="dxa"/>
          </w:tcPr>
          <w:p w:rsidR="0087732C" w:rsidRDefault="0087732C" w:rsidP="00E509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p>
        </w:tc>
        <w:tc>
          <w:tcPr>
            <w:tcW w:w="1583" w:type="dxa"/>
          </w:tcPr>
          <w:p w:rsidR="0087732C" w:rsidRDefault="0087732C" w:rsidP="00E509F2">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Pr>
                <w:rFonts w:ascii="Arial" w:hAnsi="Arial" w:cs="Arial"/>
                <w:b/>
                <w:sz w:val="20"/>
                <w:szCs w:val="20"/>
              </w:rPr>
              <w:t>$</w:t>
            </w:r>
            <w:r w:rsidRPr="0087732C">
              <w:rPr>
                <w:rFonts w:ascii="Arial" w:hAnsi="Arial" w:cs="Arial"/>
                <w:b/>
                <w:sz w:val="20"/>
                <w:szCs w:val="20"/>
              </w:rPr>
              <w:t>85,500,000</w:t>
            </w:r>
          </w:p>
        </w:tc>
      </w:tr>
    </w:tbl>
    <w:p w:rsidR="0087732C" w:rsidRPr="00164870" w:rsidRDefault="00164870" w:rsidP="008565F8">
      <w:pPr>
        <w:jc w:val="both"/>
        <w:rPr>
          <w:rFonts w:ascii="Arial" w:hAnsi="Arial" w:cs="Arial"/>
          <w:i/>
          <w:color w:val="000000"/>
          <w:sz w:val="14"/>
          <w:szCs w:val="14"/>
        </w:rPr>
      </w:pPr>
      <w:r w:rsidRPr="00164870">
        <w:rPr>
          <w:rFonts w:ascii="Arial" w:hAnsi="Arial" w:cs="Arial"/>
          <w:i/>
          <w:color w:val="000000"/>
          <w:sz w:val="14"/>
          <w:szCs w:val="14"/>
        </w:rPr>
        <w:t>Fuente: Salida almacén</w:t>
      </w:r>
    </w:p>
    <w:p w:rsidR="0087732C" w:rsidRDefault="0087732C" w:rsidP="008565F8">
      <w:pPr>
        <w:jc w:val="both"/>
        <w:rPr>
          <w:rFonts w:ascii="Arial" w:hAnsi="Arial" w:cs="Arial"/>
          <w:color w:val="000000"/>
        </w:rPr>
      </w:pPr>
    </w:p>
    <w:p w:rsidR="00873446" w:rsidRDefault="0087732C" w:rsidP="0087732C">
      <w:pPr>
        <w:rPr>
          <w:rFonts w:ascii="Arial" w:hAnsi="Arial" w:cs="Arial"/>
          <w:b/>
          <w:color w:val="404040"/>
        </w:rPr>
      </w:pPr>
      <w:r w:rsidRPr="0087732C">
        <w:rPr>
          <w:rFonts w:ascii="Arial" w:hAnsi="Arial" w:cs="Arial"/>
          <w:b/>
          <w:color w:val="404040"/>
        </w:rPr>
        <w:t>Conclusiones y Recomendaciones</w:t>
      </w:r>
      <w:r w:rsidR="000C3229" w:rsidRPr="0087732C">
        <w:rPr>
          <w:rFonts w:ascii="Arial" w:hAnsi="Arial" w:cs="Arial"/>
          <w:b/>
          <w:color w:val="404040"/>
        </w:rPr>
        <w:t xml:space="preserve"> </w:t>
      </w:r>
    </w:p>
    <w:p w:rsidR="00DF757A" w:rsidRDefault="00DF757A" w:rsidP="0087732C">
      <w:pPr>
        <w:rPr>
          <w:rFonts w:ascii="Arial" w:hAnsi="Arial" w:cs="Arial"/>
          <w:b/>
          <w:color w:val="404040"/>
        </w:rPr>
      </w:pPr>
    </w:p>
    <w:p w:rsidR="00DF757A" w:rsidRDefault="00760AAE" w:rsidP="00DF757A">
      <w:pPr>
        <w:pStyle w:val="Prrafodelista"/>
        <w:numPr>
          <w:ilvl w:val="0"/>
          <w:numId w:val="32"/>
        </w:numPr>
        <w:autoSpaceDE w:val="0"/>
        <w:autoSpaceDN w:val="0"/>
        <w:adjustRightInd w:val="0"/>
        <w:jc w:val="both"/>
        <w:rPr>
          <w:rFonts w:ascii="Arial" w:hAnsi="Arial" w:cs="Arial"/>
          <w:color w:val="404040"/>
        </w:rPr>
      </w:pPr>
      <w:r>
        <w:rPr>
          <w:rFonts w:ascii="Arial" w:hAnsi="Arial" w:cs="Arial"/>
          <w:color w:val="404040"/>
        </w:rPr>
        <w:t>Se pudo evidenciar el cumplimiento de</w:t>
      </w:r>
      <w:r w:rsidR="00DF757A" w:rsidRPr="00DF757A">
        <w:rPr>
          <w:rFonts w:ascii="Arial" w:hAnsi="Arial" w:cs="Arial"/>
          <w:color w:val="404040"/>
        </w:rPr>
        <w:t xml:space="preserve"> las políticas de operación y seguridad del</w:t>
      </w:r>
      <w:r>
        <w:rPr>
          <w:rFonts w:ascii="Arial" w:hAnsi="Arial" w:cs="Arial"/>
          <w:color w:val="404040"/>
        </w:rPr>
        <w:t xml:space="preserve"> Sistema Integrado de Información Financiera - </w:t>
      </w:r>
      <w:r w:rsidR="00DF757A" w:rsidRPr="00DF757A">
        <w:rPr>
          <w:rFonts w:ascii="Arial" w:hAnsi="Arial" w:cs="Arial"/>
          <w:color w:val="404040"/>
        </w:rPr>
        <w:t xml:space="preserve">SIIF Nación, </w:t>
      </w:r>
      <w:r>
        <w:rPr>
          <w:rFonts w:ascii="Arial" w:hAnsi="Arial" w:cs="Arial"/>
          <w:color w:val="404040"/>
        </w:rPr>
        <w:t xml:space="preserve">el cual </w:t>
      </w:r>
      <w:r w:rsidR="00DF757A" w:rsidRPr="00DF757A">
        <w:rPr>
          <w:rFonts w:ascii="Arial" w:hAnsi="Arial" w:cs="Arial"/>
          <w:color w:val="404040"/>
        </w:rPr>
        <w:t>permite salvaguardar la integridad, confidencialidad y disponibilidad de la información financiera</w:t>
      </w:r>
      <w:r>
        <w:rPr>
          <w:rFonts w:ascii="Arial" w:hAnsi="Arial" w:cs="Arial"/>
          <w:color w:val="404040"/>
        </w:rPr>
        <w:t>.</w:t>
      </w:r>
    </w:p>
    <w:p w:rsidR="00760AAE" w:rsidRDefault="00760AAE" w:rsidP="00760AAE">
      <w:pPr>
        <w:pStyle w:val="Prrafodelista"/>
        <w:autoSpaceDE w:val="0"/>
        <w:autoSpaceDN w:val="0"/>
        <w:adjustRightInd w:val="0"/>
        <w:jc w:val="both"/>
        <w:rPr>
          <w:rFonts w:ascii="Arial" w:hAnsi="Arial" w:cs="Arial"/>
          <w:color w:val="404040"/>
        </w:rPr>
      </w:pPr>
    </w:p>
    <w:p w:rsidR="00DF757A" w:rsidRPr="00B32092" w:rsidRDefault="00760AAE" w:rsidP="00E509F2">
      <w:pPr>
        <w:pStyle w:val="Prrafodelista"/>
        <w:numPr>
          <w:ilvl w:val="0"/>
          <w:numId w:val="32"/>
        </w:numPr>
        <w:autoSpaceDE w:val="0"/>
        <w:autoSpaceDN w:val="0"/>
        <w:adjustRightInd w:val="0"/>
        <w:jc w:val="both"/>
        <w:rPr>
          <w:rFonts w:ascii="Arial" w:hAnsi="Arial" w:cs="Arial"/>
          <w:color w:val="000000"/>
        </w:rPr>
      </w:pPr>
      <w:r w:rsidRPr="00760AAE">
        <w:rPr>
          <w:rFonts w:ascii="Arial" w:hAnsi="Arial" w:cs="Arial"/>
          <w:color w:val="404040"/>
        </w:rPr>
        <w:t xml:space="preserve">Es importante continuar con la gestión pertinente que permita establecer la razón por la cual </w:t>
      </w:r>
      <w:r w:rsidR="00042446">
        <w:rPr>
          <w:rFonts w:ascii="Arial" w:hAnsi="Arial" w:cs="Arial"/>
          <w:color w:val="404040"/>
        </w:rPr>
        <w:t>se pagaron los siguientes interese</w:t>
      </w:r>
      <w:r w:rsidRPr="00760AAE">
        <w:rPr>
          <w:rFonts w:ascii="Arial" w:hAnsi="Arial" w:cs="Arial"/>
          <w:color w:val="404040"/>
        </w:rPr>
        <w:t xml:space="preserve">s moratorios: ICBF por valor de $19.200, Empresa de Telecomunicaciones de </w:t>
      </w:r>
      <w:r w:rsidR="00042446" w:rsidRPr="00760AAE">
        <w:rPr>
          <w:rFonts w:ascii="Arial" w:hAnsi="Arial" w:cs="Arial"/>
          <w:color w:val="404040"/>
        </w:rPr>
        <w:t>Bogotá por</w:t>
      </w:r>
      <w:r w:rsidRPr="00760AAE">
        <w:rPr>
          <w:rFonts w:ascii="Arial" w:hAnsi="Arial" w:cs="Arial"/>
          <w:color w:val="404040"/>
        </w:rPr>
        <w:t xml:space="preserve"> valor de $7.478 y Ministerio de Educación por $6.500 y efectuar el trámite correspondiente para </w:t>
      </w:r>
      <w:r>
        <w:rPr>
          <w:rFonts w:ascii="Arial" w:hAnsi="Arial" w:cs="Arial"/>
          <w:color w:val="404040"/>
        </w:rPr>
        <w:t>el reintegro de estos valores.</w:t>
      </w:r>
    </w:p>
    <w:p w:rsidR="00B32092" w:rsidRPr="00B32092" w:rsidRDefault="00B32092" w:rsidP="00B32092">
      <w:pPr>
        <w:pStyle w:val="Prrafodelista"/>
        <w:rPr>
          <w:rFonts w:ascii="Arial" w:hAnsi="Arial" w:cs="Arial"/>
          <w:color w:val="000000"/>
        </w:rPr>
      </w:pPr>
    </w:p>
    <w:p w:rsidR="000F685B" w:rsidRDefault="00B32092" w:rsidP="00E509F2">
      <w:pPr>
        <w:pStyle w:val="Prrafodelista"/>
        <w:numPr>
          <w:ilvl w:val="0"/>
          <w:numId w:val="32"/>
        </w:numPr>
        <w:autoSpaceDE w:val="0"/>
        <w:autoSpaceDN w:val="0"/>
        <w:adjustRightInd w:val="0"/>
        <w:jc w:val="both"/>
        <w:rPr>
          <w:rFonts w:ascii="Arial" w:hAnsi="Arial" w:cs="Arial"/>
          <w:color w:val="404040"/>
        </w:rPr>
      </w:pPr>
      <w:r w:rsidRPr="000F685B">
        <w:rPr>
          <w:rFonts w:ascii="Arial" w:hAnsi="Arial" w:cs="Arial"/>
          <w:color w:val="404040"/>
        </w:rPr>
        <w:t>El Grupo de Gestión Financiera</w:t>
      </w:r>
      <w:r w:rsidR="00042446">
        <w:rPr>
          <w:rFonts w:ascii="Arial" w:hAnsi="Arial" w:cs="Arial"/>
          <w:color w:val="404040"/>
        </w:rPr>
        <w:t>,</w:t>
      </w:r>
      <w:r w:rsidR="000F685B" w:rsidRPr="000F685B">
        <w:rPr>
          <w:rFonts w:ascii="Arial" w:hAnsi="Arial" w:cs="Arial"/>
          <w:color w:val="404040"/>
        </w:rPr>
        <w:t xml:space="preserve"> mensualmente elabora</w:t>
      </w:r>
      <w:r w:rsidRPr="000F685B">
        <w:rPr>
          <w:rFonts w:ascii="Arial" w:hAnsi="Arial" w:cs="Arial"/>
          <w:color w:val="404040"/>
        </w:rPr>
        <w:t xml:space="preserve"> conciliaciones con las diferentes </w:t>
      </w:r>
      <w:r w:rsidR="000F685B" w:rsidRPr="000F685B">
        <w:rPr>
          <w:rFonts w:ascii="Arial" w:hAnsi="Arial" w:cs="Arial"/>
          <w:color w:val="404040"/>
        </w:rPr>
        <w:t>dependencias de la Entidad que generan información relevante para los estados financieros y con las diferentes entidades (cuentas reciprocas) con las cuales se efectúan transacciones</w:t>
      </w:r>
      <w:r w:rsidR="000F685B">
        <w:rPr>
          <w:rFonts w:ascii="Arial" w:hAnsi="Arial" w:cs="Arial"/>
          <w:color w:val="404040"/>
        </w:rPr>
        <w:t>.</w:t>
      </w:r>
    </w:p>
    <w:p w:rsidR="000F685B" w:rsidRPr="000F685B" w:rsidRDefault="000F685B" w:rsidP="000F685B">
      <w:pPr>
        <w:pStyle w:val="Prrafodelista"/>
        <w:rPr>
          <w:rFonts w:ascii="Arial" w:hAnsi="Arial" w:cs="Arial"/>
          <w:color w:val="404040"/>
        </w:rPr>
      </w:pPr>
    </w:p>
    <w:p w:rsidR="00DF757A" w:rsidRDefault="00F67175" w:rsidP="00E509F2">
      <w:pPr>
        <w:pStyle w:val="Prrafodelista"/>
        <w:numPr>
          <w:ilvl w:val="0"/>
          <w:numId w:val="32"/>
        </w:numPr>
        <w:autoSpaceDE w:val="0"/>
        <w:autoSpaceDN w:val="0"/>
        <w:adjustRightInd w:val="0"/>
        <w:jc w:val="both"/>
        <w:rPr>
          <w:rFonts w:ascii="Arial" w:hAnsi="Arial" w:cs="Arial"/>
          <w:color w:val="404040"/>
        </w:rPr>
      </w:pPr>
      <w:r w:rsidRPr="000F685B">
        <w:rPr>
          <w:rFonts w:ascii="Arial" w:hAnsi="Arial" w:cs="Arial"/>
          <w:color w:val="404040"/>
        </w:rPr>
        <w:t>Se resalta el trabajo juicioso efectuado por el Grupo de Gestión Administrativa, en el manejo y toma física de los inventarios de la Entidad.</w:t>
      </w:r>
    </w:p>
    <w:p w:rsidR="008B23C9" w:rsidRPr="008B23C9" w:rsidRDefault="008B23C9" w:rsidP="008B23C9">
      <w:pPr>
        <w:pStyle w:val="Prrafodelista"/>
        <w:rPr>
          <w:rFonts w:ascii="Arial" w:hAnsi="Arial" w:cs="Arial"/>
          <w:color w:val="404040"/>
        </w:rPr>
      </w:pPr>
    </w:p>
    <w:p w:rsidR="008B23C9" w:rsidRDefault="008B23C9" w:rsidP="008B23C9">
      <w:pPr>
        <w:autoSpaceDE w:val="0"/>
        <w:autoSpaceDN w:val="0"/>
        <w:adjustRightInd w:val="0"/>
        <w:jc w:val="both"/>
        <w:rPr>
          <w:rFonts w:ascii="Arial" w:hAnsi="Arial" w:cs="Arial"/>
          <w:color w:val="404040"/>
        </w:rPr>
      </w:pPr>
    </w:p>
    <w:p w:rsidR="008B23C9" w:rsidRDefault="008B23C9" w:rsidP="008B23C9">
      <w:pPr>
        <w:autoSpaceDE w:val="0"/>
        <w:autoSpaceDN w:val="0"/>
        <w:adjustRightInd w:val="0"/>
        <w:jc w:val="both"/>
        <w:rPr>
          <w:rFonts w:ascii="Arial" w:hAnsi="Arial" w:cs="Arial"/>
          <w:color w:val="404040"/>
        </w:rPr>
      </w:pPr>
    </w:p>
    <w:p w:rsidR="008B23C9" w:rsidRDefault="008B23C9" w:rsidP="008B23C9">
      <w:pPr>
        <w:autoSpaceDE w:val="0"/>
        <w:autoSpaceDN w:val="0"/>
        <w:adjustRightInd w:val="0"/>
        <w:jc w:val="both"/>
        <w:rPr>
          <w:rFonts w:ascii="Arial" w:hAnsi="Arial" w:cs="Arial"/>
          <w:color w:val="404040"/>
        </w:rPr>
      </w:pPr>
      <w:r>
        <w:rPr>
          <w:rFonts w:ascii="Arial" w:hAnsi="Arial" w:cs="Arial"/>
          <w:color w:val="404040"/>
        </w:rPr>
        <w:t>Cordialmente,</w:t>
      </w:r>
    </w:p>
    <w:p w:rsidR="008B23C9" w:rsidRDefault="008B23C9" w:rsidP="008B23C9">
      <w:pPr>
        <w:autoSpaceDE w:val="0"/>
        <w:autoSpaceDN w:val="0"/>
        <w:adjustRightInd w:val="0"/>
        <w:jc w:val="both"/>
        <w:rPr>
          <w:rFonts w:ascii="Arial" w:hAnsi="Arial" w:cs="Arial"/>
          <w:color w:val="404040"/>
        </w:rPr>
      </w:pPr>
    </w:p>
    <w:p w:rsidR="008B23C9" w:rsidRDefault="008B23C9" w:rsidP="008B23C9">
      <w:pPr>
        <w:autoSpaceDE w:val="0"/>
        <w:autoSpaceDN w:val="0"/>
        <w:adjustRightInd w:val="0"/>
        <w:jc w:val="both"/>
        <w:rPr>
          <w:rFonts w:ascii="Arial" w:hAnsi="Arial" w:cs="Arial"/>
          <w:color w:val="404040"/>
        </w:rPr>
      </w:pPr>
    </w:p>
    <w:p w:rsidR="008B23C9" w:rsidRPr="008B23C9" w:rsidRDefault="008B23C9" w:rsidP="008B23C9">
      <w:pPr>
        <w:autoSpaceDE w:val="0"/>
        <w:autoSpaceDN w:val="0"/>
        <w:adjustRightInd w:val="0"/>
        <w:jc w:val="both"/>
        <w:rPr>
          <w:rFonts w:ascii="Arial" w:hAnsi="Arial" w:cs="Arial"/>
          <w:b/>
          <w:color w:val="404040"/>
        </w:rPr>
      </w:pPr>
      <w:r w:rsidRPr="008B23C9">
        <w:rPr>
          <w:rFonts w:ascii="Arial" w:hAnsi="Arial" w:cs="Arial"/>
          <w:b/>
          <w:color w:val="404040"/>
        </w:rPr>
        <w:t>Luz Stella Patiño Jurado</w:t>
      </w:r>
    </w:p>
    <w:p w:rsidR="008B23C9" w:rsidRPr="008B23C9" w:rsidRDefault="008B23C9" w:rsidP="008B23C9">
      <w:pPr>
        <w:autoSpaceDE w:val="0"/>
        <w:autoSpaceDN w:val="0"/>
        <w:adjustRightInd w:val="0"/>
        <w:jc w:val="both"/>
        <w:rPr>
          <w:rFonts w:ascii="Arial" w:hAnsi="Arial" w:cs="Arial"/>
          <w:color w:val="404040"/>
        </w:rPr>
      </w:pPr>
      <w:r>
        <w:rPr>
          <w:rFonts w:ascii="Arial" w:hAnsi="Arial" w:cs="Arial"/>
          <w:color w:val="404040"/>
        </w:rPr>
        <w:t>Jefe Oficina de Control Interno</w:t>
      </w:r>
    </w:p>
    <w:sectPr w:rsidR="008B23C9" w:rsidRPr="008B23C9" w:rsidSect="005963DC">
      <w:footerReference w:type="default" r:id="rId10"/>
      <w:headerReference w:type="first" r:id="rId11"/>
      <w:footerReference w:type="first" r:id="rId12"/>
      <w:pgSz w:w="12240" w:h="15840" w:code="123"/>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1D56" w:rsidRDefault="00E41D56" w:rsidP="006805F6">
      <w:r>
        <w:separator/>
      </w:r>
    </w:p>
  </w:endnote>
  <w:endnote w:type="continuationSeparator" w:id="0">
    <w:p w:rsidR="00E41D56" w:rsidRDefault="00E41D56" w:rsidP="006805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9F2" w:rsidRPr="00634DEC" w:rsidRDefault="00E509F2" w:rsidP="000C2009">
    <w:pPr>
      <w:pStyle w:val="Piedepgina"/>
      <w:rPr>
        <w:rFonts w:ascii="Arial" w:hAnsi="Arial" w:cs="Arial"/>
        <w:color w:val="212121"/>
        <w:sz w:val="16"/>
        <w:szCs w:val="16"/>
      </w:rPr>
    </w:pPr>
    <w:r>
      <w:rPr>
        <w:rFonts w:ascii="Arial" w:hAnsi="Arial" w:cs="Arial"/>
        <w:color w:val="212121"/>
        <w:sz w:val="16"/>
        <w:szCs w:val="16"/>
      </w:rPr>
      <w:t xml:space="preserve">F. </w:t>
    </w:r>
    <w:r w:rsidRPr="000C2009">
      <w:rPr>
        <w:rFonts w:ascii="Arial" w:hAnsi="Arial" w:cs="Arial"/>
        <w:color w:val="212121"/>
        <w:sz w:val="16"/>
        <w:szCs w:val="16"/>
      </w:rPr>
      <w:t>V</w:t>
    </w:r>
    <w:r w:rsidRPr="00634DEC">
      <w:rPr>
        <w:rFonts w:ascii="Arial" w:hAnsi="Arial" w:cs="Arial"/>
        <w:color w:val="212121"/>
        <w:sz w:val="16"/>
        <w:szCs w:val="16"/>
      </w:rPr>
      <w:t xml:space="preserve">ersión </w:t>
    </w:r>
    <w:r>
      <w:rPr>
        <w:rFonts w:ascii="Arial" w:hAnsi="Arial" w:cs="Arial"/>
        <w:color w:val="212121"/>
        <w:sz w:val="16"/>
        <w:szCs w:val="16"/>
      </w:rPr>
      <w:t>2</w:t>
    </w:r>
    <w:r w:rsidRPr="00634DEC">
      <w:rPr>
        <w:rFonts w:ascii="Arial" w:hAnsi="Arial" w:cs="Arial"/>
        <w:sz w:val="16"/>
        <w:szCs w:val="16"/>
      </w:rPr>
      <w:t xml:space="preserve"> </w:t>
    </w:r>
    <w:r w:rsidRPr="00634DEC">
      <w:rPr>
        <w:rFonts w:ascii="Arial" w:hAnsi="Arial" w:cs="Arial"/>
        <w:sz w:val="16"/>
        <w:szCs w:val="16"/>
      </w:rPr>
      <w:tab/>
    </w:r>
    <w:r>
      <w:rPr>
        <w:rFonts w:ascii="Arial" w:hAnsi="Arial" w:cs="Arial"/>
        <w:sz w:val="16"/>
        <w:szCs w:val="16"/>
      </w:rPr>
      <w:t xml:space="preserve">      </w:t>
    </w:r>
    <w:r w:rsidRPr="00634DEC">
      <w:rPr>
        <w:rFonts w:ascii="Arial" w:hAnsi="Arial" w:cs="Arial"/>
        <w:color w:val="212121"/>
        <w:sz w:val="16"/>
        <w:szCs w:val="16"/>
      </w:rPr>
      <w:t>Si este documento se encuentra impreso no se garantiza su vigencia.</w:t>
    </w:r>
  </w:p>
  <w:p w:rsidR="00E509F2" w:rsidRDefault="00E509F2" w:rsidP="003E6665">
    <w:pPr>
      <w:pStyle w:val="Piedepgina"/>
      <w:jc w:val="right"/>
    </w:pPr>
    <w:r w:rsidRPr="00634DEC">
      <w:rPr>
        <w:rFonts w:ascii="Arial" w:hAnsi="Arial" w:cs="Arial"/>
        <w:color w:val="212121"/>
        <w:sz w:val="16"/>
        <w:szCs w:val="16"/>
      </w:rPr>
      <w:t>Fecha: 201</w:t>
    </w:r>
    <w:r>
      <w:rPr>
        <w:rFonts w:ascii="Arial" w:hAnsi="Arial" w:cs="Arial"/>
        <w:color w:val="212121"/>
        <w:sz w:val="16"/>
        <w:szCs w:val="16"/>
      </w:rPr>
      <w:t>9</w:t>
    </w:r>
    <w:r w:rsidRPr="00634DEC">
      <w:rPr>
        <w:rFonts w:ascii="Arial" w:hAnsi="Arial" w:cs="Arial"/>
        <w:color w:val="212121"/>
        <w:sz w:val="16"/>
        <w:szCs w:val="16"/>
      </w:rPr>
      <w:t>-</w:t>
    </w:r>
    <w:r>
      <w:rPr>
        <w:rFonts w:ascii="Arial" w:hAnsi="Arial" w:cs="Arial"/>
        <w:color w:val="212121"/>
        <w:sz w:val="16"/>
        <w:szCs w:val="16"/>
      </w:rPr>
      <w:t>02</w:t>
    </w:r>
    <w:r w:rsidRPr="00634DEC">
      <w:rPr>
        <w:rFonts w:ascii="Arial" w:hAnsi="Arial" w:cs="Arial"/>
        <w:color w:val="212121"/>
        <w:sz w:val="16"/>
        <w:szCs w:val="16"/>
      </w:rPr>
      <w:t>-</w:t>
    </w:r>
    <w:r>
      <w:rPr>
        <w:rFonts w:ascii="Arial" w:hAnsi="Arial" w:cs="Arial"/>
        <w:color w:val="212121"/>
        <w:sz w:val="16"/>
        <w:szCs w:val="16"/>
      </w:rPr>
      <w:t>06</w:t>
    </w:r>
    <w:r w:rsidRPr="00634DEC">
      <w:rPr>
        <w:rFonts w:ascii="Arial" w:hAnsi="Arial" w:cs="Arial"/>
        <w:color w:val="212121"/>
        <w:sz w:val="16"/>
        <w:szCs w:val="16"/>
      </w:rPr>
      <w:t xml:space="preserve">    </w:t>
    </w:r>
    <w:r w:rsidRPr="00634DEC">
      <w:rPr>
        <w:rFonts w:ascii="Arial" w:hAnsi="Arial" w:cs="Arial"/>
        <w:color w:val="212121"/>
        <w:sz w:val="16"/>
        <w:szCs w:val="16"/>
      </w:rPr>
      <w:tab/>
    </w:r>
    <w:r>
      <w:rPr>
        <w:rFonts w:ascii="Arial" w:hAnsi="Arial" w:cs="Arial"/>
        <w:color w:val="212121"/>
        <w:sz w:val="16"/>
        <w:szCs w:val="16"/>
      </w:rPr>
      <w:t xml:space="preserve">      </w:t>
    </w:r>
    <w:r w:rsidRPr="00634DEC">
      <w:rPr>
        <w:rFonts w:ascii="Arial" w:hAnsi="Arial" w:cs="Arial"/>
        <w:color w:val="212121"/>
        <w:sz w:val="16"/>
        <w:szCs w:val="16"/>
      </w:rPr>
      <w:t xml:space="preserve">La versión vigente reposa en el Sistema </w:t>
    </w:r>
    <w:r>
      <w:rPr>
        <w:rFonts w:ascii="Arial" w:hAnsi="Arial" w:cs="Arial"/>
        <w:color w:val="212121"/>
        <w:sz w:val="16"/>
        <w:szCs w:val="16"/>
      </w:rPr>
      <w:t>Integrado de Gestión (Intranet)</w:t>
    </w:r>
    <w:r>
      <w:rPr>
        <w:rFonts w:ascii="Arial" w:hAnsi="Arial" w:cs="Arial"/>
        <w:color w:val="212121"/>
        <w:sz w:val="16"/>
        <w:szCs w:val="16"/>
      </w:rPr>
      <w:tab/>
    </w:r>
    <w:r w:rsidRPr="003E6665">
      <w:rPr>
        <w:rFonts w:ascii="Arial" w:hAnsi="Arial" w:cs="Arial"/>
        <w:sz w:val="16"/>
        <w:szCs w:val="16"/>
      </w:rPr>
      <w:fldChar w:fldCharType="begin"/>
    </w:r>
    <w:r w:rsidRPr="003E6665">
      <w:rPr>
        <w:rFonts w:ascii="Arial" w:hAnsi="Arial" w:cs="Arial"/>
        <w:sz w:val="16"/>
        <w:szCs w:val="16"/>
      </w:rPr>
      <w:instrText>PAGE   \* MERGEFORMAT</w:instrText>
    </w:r>
    <w:r w:rsidRPr="003E6665">
      <w:rPr>
        <w:rFonts w:ascii="Arial" w:hAnsi="Arial" w:cs="Arial"/>
        <w:sz w:val="16"/>
        <w:szCs w:val="16"/>
      </w:rPr>
      <w:fldChar w:fldCharType="separate"/>
    </w:r>
    <w:r w:rsidR="00417976">
      <w:rPr>
        <w:rFonts w:ascii="Arial" w:hAnsi="Arial" w:cs="Arial"/>
        <w:noProof/>
        <w:sz w:val="16"/>
        <w:szCs w:val="16"/>
      </w:rPr>
      <w:t>12</w:t>
    </w:r>
    <w:r w:rsidRPr="003E6665">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9F2" w:rsidRPr="0044207C" w:rsidRDefault="00E509F2" w:rsidP="00634DEC">
    <w:pPr>
      <w:pStyle w:val="Piedepgina"/>
      <w:rPr>
        <w:sz w:val="18"/>
        <w:szCs w:val="18"/>
      </w:rPr>
    </w:pPr>
  </w:p>
  <w:p w:rsidR="00E509F2" w:rsidRDefault="00E509F2" w:rsidP="00634DEC">
    <w:pPr>
      <w:pStyle w:val="Piedepgina"/>
    </w:pPr>
    <w:r>
      <w:rPr>
        <w:noProof/>
        <w:lang w:eastAsia="es-CO"/>
      </w:rPr>
      <w:drawing>
        <wp:anchor distT="0" distB="0" distL="114300" distR="114300" simplePos="0" relativeHeight="251660288" behindDoc="1" locked="0" layoutInCell="1" allowOverlap="1" wp14:anchorId="42370EB3" wp14:editId="553BCE41">
          <wp:simplePos x="0" y="0"/>
          <wp:positionH relativeFrom="column">
            <wp:posOffset>-470535</wp:posOffset>
          </wp:positionH>
          <wp:positionV relativeFrom="paragraph">
            <wp:posOffset>-1310005</wp:posOffset>
          </wp:positionV>
          <wp:extent cx="2247900" cy="565785"/>
          <wp:effectExtent l="0" t="0" r="0" b="571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es y añ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47900" cy="5657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1D56" w:rsidRDefault="00E41D56" w:rsidP="006805F6">
      <w:r>
        <w:separator/>
      </w:r>
    </w:p>
  </w:footnote>
  <w:footnote w:type="continuationSeparator" w:id="0">
    <w:p w:rsidR="00E41D56" w:rsidRDefault="00E41D56" w:rsidP="006805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09F2" w:rsidRDefault="00E509F2" w:rsidP="006805F6">
    <w:pPr>
      <w:pStyle w:val="Encabezado"/>
      <w:tabs>
        <w:tab w:val="clear" w:pos="4419"/>
      </w:tabs>
    </w:pPr>
    <w:r>
      <w:rPr>
        <w:noProof/>
        <w:lang w:eastAsia="es-CO"/>
      </w:rPr>
      <mc:AlternateContent>
        <mc:Choice Requires="wps">
          <w:drawing>
            <wp:anchor distT="0" distB="0" distL="114300" distR="114300" simplePos="0" relativeHeight="251659263" behindDoc="0" locked="0" layoutInCell="1" allowOverlap="1" wp14:anchorId="2274E102" wp14:editId="78E8D88C">
              <wp:simplePos x="0" y="0"/>
              <wp:positionH relativeFrom="column">
                <wp:posOffset>-1148229</wp:posOffset>
              </wp:positionH>
              <wp:positionV relativeFrom="paragraph">
                <wp:posOffset>-449579</wp:posOffset>
              </wp:positionV>
              <wp:extent cx="7850222" cy="10385128"/>
              <wp:effectExtent l="0" t="0" r="0" b="0"/>
              <wp:wrapNone/>
              <wp:docPr id="8" name="Rectángulo 8"/>
              <wp:cNvGraphicFramePr/>
              <a:graphic xmlns:a="http://schemas.openxmlformats.org/drawingml/2006/main">
                <a:graphicData uri="http://schemas.microsoft.com/office/word/2010/wordprocessingShape">
                  <wps:wsp>
                    <wps:cNvSpPr/>
                    <wps:spPr>
                      <a:xfrm>
                        <a:off x="0" y="0"/>
                        <a:ext cx="7850222" cy="10385128"/>
                      </a:xfrm>
                      <a:prstGeom prst="rect">
                        <a:avLst/>
                      </a:prstGeom>
                      <a:solidFill>
                        <a:srgbClr val="E6EFFD"/>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4F798CA1" id="Rectángulo 8" o:spid="_x0000_s1026" style="position:absolute;margin-left:-90.4pt;margin-top:-35.4pt;width:618.15pt;height:817.75pt;z-index:251659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" fillcolor="#e6effd" stroked="f" strokeweight="1pt"/>
          </w:pict>
        </mc:Fallback>
      </mc:AlternateContent>
    </w:r>
    <w:r>
      <w:rPr>
        <w:noProof/>
        <w:lang w:eastAsia="es-CO"/>
      </w:rPr>
      <w:drawing>
        <wp:anchor distT="0" distB="0" distL="114300" distR="114300" simplePos="0" relativeHeight="251662336" behindDoc="0" locked="0" layoutInCell="1" allowOverlap="1" wp14:anchorId="17C8765C" wp14:editId="007178E0">
          <wp:simplePos x="0" y="0"/>
          <wp:positionH relativeFrom="column">
            <wp:posOffset>1234440</wp:posOffset>
          </wp:positionH>
          <wp:positionV relativeFrom="paragraph">
            <wp:posOffset>3074581</wp:posOffset>
          </wp:positionV>
          <wp:extent cx="3960000" cy="758298"/>
          <wp:effectExtent l="0" t="0" r="2540" b="381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 Funcion Publica PNG.png"/>
                  <pic:cNvPicPr/>
                </pic:nvPicPr>
                <pic:blipFill>
                  <a:blip r:embed="rId1">
                    <a:extLst>
                      <a:ext uri="{28A0092B-C50C-407E-A947-70E740481C1C}">
                        <a14:useLocalDpi xmlns:a14="http://schemas.microsoft.com/office/drawing/2010/main" val="0"/>
                      </a:ext>
                    </a:extLst>
                  </a:blip>
                  <a:stretch>
                    <a:fillRect/>
                  </a:stretch>
                </pic:blipFill>
                <pic:spPr>
                  <a:xfrm>
                    <a:off x="0" y="0"/>
                    <a:ext cx="3960000" cy="758298"/>
                  </a:xfrm>
                  <a:prstGeom prst="rect">
                    <a:avLst/>
                  </a:prstGeom>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61312" behindDoc="0" locked="0" layoutInCell="1" allowOverlap="1" wp14:anchorId="1C36C780" wp14:editId="7C902DB9">
              <wp:simplePos x="0" y="0"/>
              <wp:positionH relativeFrom="column">
                <wp:posOffset>-1093470</wp:posOffset>
              </wp:positionH>
              <wp:positionV relativeFrom="paragraph">
                <wp:posOffset>-449580</wp:posOffset>
              </wp:positionV>
              <wp:extent cx="5180400" cy="10064115"/>
              <wp:effectExtent l="0" t="0" r="1270" b="0"/>
              <wp:wrapNone/>
              <wp:docPr id="3" name="Rectángulo 3"/>
              <wp:cNvGraphicFramePr/>
              <a:graphic xmlns:a="http://schemas.openxmlformats.org/drawingml/2006/main">
                <a:graphicData uri="http://schemas.microsoft.com/office/word/2010/wordprocessingShape">
                  <wps:wsp>
                    <wps:cNvSpPr/>
                    <wps:spPr>
                      <a:xfrm>
                        <a:off x="0" y="0"/>
                        <a:ext cx="5180400" cy="10064115"/>
                      </a:xfrm>
                      <a:prstGeom prst="rect">
                        <a:avLst/>
                      </a:prstGeom>
                      <a:solidFill>
                        <a:srgbClr val="FFAB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w15="http://schemas.microsoft.com/office/word/2012/wordml" xmlns:w16se="http://schemas.microsoft.com/office/word/2015/wordml/symex">
          <w:pict>
            <v:rect w14:anchorId="062FDA64" id="Rectángulo 3" o:spid="_x0000_s1026" style="position:absolute;margin-left:-86.1pt;margin-top:-35.4pt;width:407.9pt;height:792.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" fillcolor="#ffab00" stroked="f" strokeweight="1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9406B"/>
    <w:multiLevelType w:val="hybridMultilevel"/>
    <w:tmpl w:val="0F0A3344"/>
    <w:lvl w:ilvl="0" w:tplc="2F96E948">
      <w:start w:val="1"/>
      <w:numFmt w:val="lowerLetter"/>
      <w:lvlText w:val="%1)"/>
      <w:lvlJc w:val="left"/>
      <w:pPr>
        <w:ind w:left="720" w:hanging="360"/>
      </w:pPr>
      <w:rPr>
        <w:rFonts w:hint="default"/>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DE3699"/>
    <w:multiLevelType w:val="hybridMultilevel"/>
    <w:tmpl w:val="DF4C103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0A575F1F"/>
    <w:multiLevelType w:val="hybridMultilevel"/>
    <w:tmpl w:val="2210108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1BA3F82"/>
    <w:multiLevelType w:val="hybridMultilevel"/>
    <w:tmpl w:val="A6F6945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nsid w:val="128B1C3A"/>
    <w:multiLevelType w:val="hybridMultilevel"/>
    <w:tmpl w:val="5AC0D002"/>
    <w:lvl w:ilvl="0" w:tplc="11C03C08">
      <w:start w:val="1"/>
      <w:numFmt w:val="decimal"/>
      <w:lvlText w:val="%1."/>
      <w:lvlJc w:val="left"/>
      <w:pPr>
        <w:ind w:left="720" w:hanging="360"/>
      </w:pPr>
      <w:rPr>
        <w:rFonts w:hint="default"/>
        <w:sz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EB13390"/>
    <w:multiLevelType w:val="hybridMultilevel"/>
    <w:tmpl w:val="B2C26030"/>
    <w:lvl w:ilvl="0" w:tplc="B3926890">
      <w:start w:val="1"/>
      <w:numFmt w:val="lowerLetter"/>
      <w:lvlText w:val="%1)"/>
      <w:lvlJc w:val="left"/>
      <w:pPr>
        <w:ind w:left="928" w:hanging="360"/>
      </w:pPr>
      <w:rPr>
        <w:rFonts w:hint="default"/>
      </w:rPr>
    </w:lvl>
    <w:lvl w:ilvl="1" w:tplc="240A0019" w:tentative="1">
      <w:start w:val="1"/>
      <w:numFmt w:val="lowerLetter"/>
      <w:lvlText w:val="%2."/>
      <w:lvlJc w:val="left"/>
      <w:pPr>
        <w:ind w:left="1648" w:hanging="360"/>
      </w:pPr>
    </w:lvl>
    <w:lvl w:ilvl="2" w:tplc="240A001B" w:tentative="1">
      <w:start w:val="1"/>
      <w:numFmt w:val="lowerRoman"/>
      <w:lvlText w:val="%3."/>
      <w:lvlJc w:val="right"/>
      <w:pPr>
        <w:ind w:left="2368" w:hanging="180"/>
      </w:pPr>
    </w:lvl>
    <w:lvl w:ilvl="3" w:tplc="240A000F" w:tentative="1">
      <w:start w:val="1"/>
      <w:numFmt w:val="decimal"/>
      <w:lvlText w:val="%4."/>
      <w:lvlJc w:val="left"/>
      <w:pPr>
        <w:ind w:left="3088" w:hanging="360"/>
      </w:pPr>
    </w:lvl>
    <w:lvl w:ilvl="4" w:tplc="240A0019" w:tentative="1">
      <w:start w:val="1"/>
      <w:numFmt w:val="lowerLetter"/>
      <w:lvlText w:val="%5."/>
      <w:lvlJc w:val="left"/>
      <w:pPr>
        <w:ind w:left="3808" w:hanging="360"/>
      </w:pPr>
    </w:lvl>
    <w:lvl w:ilvl="5" w:tplc="240A001B" w:tentative="1">
      <w:start w:val="1"/>
      <w:numFmt w:val="lowerRoman"/>
      <w:lvlText w:val="%6."/>
      <w:lvlJc w:val="right"/>
      <w:pPr>
        <w:ind w:left="4528" w:hanging="180"/>
      </w:pPr>
    </w:lvl>
    <w:lvl w:ilvl="6" w:tplc="240A000F" w:tentative="1">
      <w:start w:val="1"/>
      <w:numFmt w:val="decimal"/>
      <w:lvlText w:val="%7."/>
      <w:lvlJc w:val="left"/>
      <w:pPr>
        <w:ind w:left="5248" w:hanging="360"/>
      </w:pPr>
    </w:lvl>
    <w:lvl w:ilvl="7" w:tplc="240A0019" w:tentative="1">
      <w:start w:val="1"/>
      <w:numFmt w:val="lowerLetter"/>
      <w:lvlText w:val="%8."/>
      <w:lvlJc w:val="left"/>
      <w:pPr>
        <w:ind w:left="5968" w:hanging="360"/>
      </w:pPr>
    </w:lvl>
    <w:lvl w:ilvl="8" w:tplc="240A001B" w:tentative="1">
      <w:start w:val="1"/>
      <w:numFmt w:val="lowerRoman"/>
      <w:lvlText w:val="%9."/>
      <w:lvlJc w:val="right"/>
      <w:pPr>
        <w:ind w:left="6688" w:hanging="180"/>
      </w:pPr>
    </w:lvl>
  </w:abstractNum>
  <w:abstractNum w:abstractNumId="6">
    <w:nsid w:val="1F2A4381"/>
    <w:multiLevelType w:val="hybridMultilevel"/>
    <w:tmpl w:val="EC8EBCA8"/>
    <w:lvl w:ilvl="0" w:tplc="240A000D">
      <w:start w:val="1"/>
      <w:numFmt w:val="bullet"/>
      <w:lvlText w:val=""/>
      <w:lvlJc w:val="left"/>
      <w:pPr>
        <w:ind w:left="1080" w:hanging="360"/>
      </w:pPr>
      <w:rPr>
        <w:rFonts w:ascii="Wingdings" w:hAnsi="Wingdings"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nsid w:val="22430C86"/>
    <w:multiLevelType w:val="hybridMultilevel"/>
    <w:tmpl w:val="240AF2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23CC092F"/>
    <w:multiLevelType w:val="hybridMultilevel"/>
    <w:tmpl w:val="E68889CC"/>
    <w:lvl w:ilvl="0" w:tplc="201AF15C">
      <w:start w:val="1"/>
      <w:numFmt w:val="lowerLetter"/>
      <w:lvlText w:val="%1)"/>
      <w:lvlJc w:val="left"/>
      <w:pPr>
        <w:ind w:left="1069" w:hanging="360"/>
      </w:pPr>
      <w:rPr>
        <w:rFonts w:ascii="Arial" w:hAnsi="Arial" w:hint="default"/>
        <w:b/>
        <w:i w:val="0"/>
        <w:sz w:val="24"/>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9">
    <w:nsid w:val="27AA6204"/>
    <w:multiLevelType w:val="multilevel"/>
    <w:tmpl w:val="070CD44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2C1C69A0"/>
    <w:multiLevelType w:val="hybridMultilevel"/>
    <w:tmpl w:val="D3BA466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374E664A"/>
    <w:multiLevelType w:val="hybridMultilevel"/>
    <w:tmpl w:val="1F0203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379C2AD8"/>
    <w:multiLevelType w:val="hybridMultilevel"/>
    <w:tmpl w:val="9CEA43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39540924"/>
    <w:multiLevelType w:val="hybridMultilevel"/>
    <w:tmpl w:val="7C1CCD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3B196FC7"/>
    <w:multiLevelType w:val="hybridMultilevel"/>
    <w:tmpl w:val="ECA2CBB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B6846DE"/>
    <w:multiLevelType w:val="hybridMultilevel"/>
    <w:tmpl w:val="4FE6B4A6"/>
    <w:lvl w:ilvl="0" w:tplc="240A0017">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1163466"/>
    <w:multiLevelType w:val="hybridMultilevel"/>
    <w:tmpl w:val="B0761D84"/>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7">
    <w:nsid w:val="4E2D57BC"/>
    <w:multiLevelType w:val="hybridMultilevel"/>
    <w:tmpl w:val="D6AAE4A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505103FF"/>
    <w:multiLevelType w:val="hybridMultilevel"/>
    <w:tmpl w:val="0A605558"/>
    <w:lvl w:ilvl="0" w:tplc="240A000D">
      <w:start w:val="1"/>
      <w:numFmt w:val="bullet"/>
      <w:lvlText w:val=""/>
      <w:lvlJc w:val="left"/>
      <w:pPr>
        <w:ind w:left="644" w:hanging="360"/>
      </w:pPr>
      <w:rPr>
        <w:rFonts w:ascii="Wingdings" w:hAnsi="Wingdings"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5310576D"/>
    <w:multiLevelType w:val="hybridMultilevel"/>
    <w:tmpl w:val="B3821C70"/>
    <w:lvl w:ilvl="0" w:tplc="240A0017">
      <w:start w:val="3"/>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53A241C0"/>
    <w:multiLevelType w:val="hybridMultilevel"/>
    <w:tmpl w:val="F2183C24"/>
    <w:lvl w:ilvl="0" w:tplc="240A000F">
      <w:start w:val="1"/>
      <w:numFmt w:val="decimal"/>
      <w:lvlText w:val="%1."/>
      <w:lvlJc w:val="left"/>
      <w:pPr>
        <w:ind w:left="1068" w:hanging="36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1">
    <w:nsid w:val="550A364A"/>
    <w:multiLevelType w:val="hybridMultilevel"/>
    <w:tmpl w:val="B7D850DE"/>
    <w:lvl w:ilvl="0" w:tplc="BE3C8D32">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B447915"/>
    <w:multiLevelType w:val="hybridMultilevel"/>
    <w:tmpl w:val="3306BBDC"/>
    <w:lvl w:ilvl="0" w:tplc="240A0001">
      <w:start w:val="1"/>
      <w:numFmt w:val="bullet"/>
      <w:lvlText w:val=""/>
      <w:lvlJc w:val="left"/>
      <w:pPr>
        <w:ind w:left="513" w:hanging="360"/>
      </w:pPr>
      <w:rPr>
        <w:rFonts w:ascii="Symbol" w:hAnsi="Symbol" w:hint="default"/>
      </w:rPr>
    </w:lvl>
    <w:lvl w:ilvl="1" w:tplc="240A0003" w:tentative="1">
      <w:start w:val="1"/>
      <w:numFmt w:val="bullet"/>
      <w:lvlText w:val="o"/>
      <w:lvlJc w:val="left"/>
      <w:pPr>
        <w:ind w:left="1233" w:hanging="360"/>
      </w:pPr>
      <w:rPr>
        <w:rFonts w:ascii="Courier New" w:hAnsi="Courier New" w:cs="Courier New" w:hint="default"/>
      </w:rPr>
    </w:lvl>
    <w:lvl w:ilvl="2" w:tplc="240A0005" w:tentative="1">
      <w:start w:val="1"/>
      <w:numFmt w:val="bullet"/>
      <w:lvlText w:val=""/>
      <w:lvlJc w:val="left"/>
      <w:pPr>
        <w:ind w:left="1953" w:hanging="360"/>
      </w:pPr>
      <w:rPr>
        <w:rFonts w:ascii="Wingdings" w:hAnsi="Wingdings" w:hint="default"/>
      </w:rPr>
    </w:lvl>
    <w:lvl w:ilvl="3" w:tplc="240A0001" w:tentative="1">
      <w:start w:val="1"/>
      <w:numFmt w:val="bullet"/>
      <w:lvlText w:val=""/>
      <w:lvlJc w:val="left"/>
      <w:pPr>
        <w:ind w:left="2673" w:hanging="360"/>
      </w:pPr>
      <w:rPr>
        <w:rFonts w:ascii="Symbol" w:hAnsi="Symbol" w:hint="default"/>
      </w:rPr>
    </w:lvl>
    <w:lvl w:ilvl="4" w:tplc="240A0003" w:tentative="1">
      <w:start w:val="1"/>
      <w:numFmt w:val="bullet"/>
      <w:lvlText w:val="o"/>
      <w:lvlJc w:val="left"/>
      <w:pPr>
        <w:ind w:left="3393" w:hanging="360"/>
      </w:pPr>
      <w:rPr>
        <w:rFonts w:ascii="Courier New" w:hAnsi="Courier New" w:cs="Courier New" w:hint="default"/>
      </w:rPr>
    </w:lvl>
    <w:lvl w:ilvl="5" w:tplc="240A0005" w:tentative="1">
      <w:start w:val="1"/>
      <w:numFmt w:val="bullet"/>
      <w:lvlText w:val=""/>
      <w:lvlJc w:val="left"/>
      <w:pPr>
        <w:ind w:left="4113" w:hanging="360"/>
      </w:pPr>
      <w:rPr>
        <w:rFonts w:ascii="Wingdings" w:hAnsi="Wingdings" w:hint="default"/>
      </w:rPr>
    </w:lvl>
    <w:lvl w:ilvl="6" w:tplc="240A0001" w:tentative="1">
      <w:start w:val="1"/>
      <w:numFmt w:val="bullet"/>
      <w:lvlText w:val=""/>
      <w:lvlJc w:val="left"/>
      <w:pPr>
        <w:ind w:left="4833" w:hanging="360"/>
      </w:pPr>
      <w:rPr>
        <w:rFonts w:ascii="Symbol" w:hAnsi="Symbol" w:hint="default"/>
      </w:rPr>
    </w:lvl>
    <w:lvl w:ilvl="7" w:tplc="240A0003" w:tentative="1">
      <w:start w:val="1"/>
      <w:numFmt w:val="bullet"/>
      <w:lvlText w:val="o"/>
      <w:lvlJc w:val="left"/>
      <w:pPr>
        <w:ind w:left="5553" w:hanging="360"/>
      </w:pPr>
      <w:rPr>
        <w:rFonts w:ascii="Courier New" w:hAnsi="Courier New" w:cs="Courier New" w:hint="default"/>
      </w:rPr>
    </w:lvl>
    <w:lvl w:ilvl="8" w:tplc="240A0005" w:tentative="1">
      <w:start w:val="1"/>
      <w:numFmt w:val="bullet"/>
      <w:lvlText w:val=""/>
      <w:lvlJc w:val="left"/>
      <w:pPr>
        <w:ind w:left="6273" w:hanging="360"/>
      </w:pPr>
      <w:rPr>
        <w:rFonts w:ascii="Wingdings" w:hAnsi="Wingdings" w:hint="default"/>
      </w:rPr>
    </w:lvl>
  </w:abstractNum>
  <w:abstractNum w:abstractNumId="23">
    <w:nsid w:val="5D4A3500"/>
    <w:multiLevelType w:val="hybridMultilevel"/>
    <w:tmpl w:val="0C74446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608E6497"/>
    <w:multiLevelType w:val="hybridMultilevel"/>
    <w:tmpl w:val="A260E9EC"/>
    <w:lvl w:ilvl="0" w:tplc="BE3C8D32">
      <w:start w:val="1"/>
      <w:numFmt w:val="decimal"/>
      <w:lvlText w:val="%1."/>
      <w:lvlJc w:val="left"/>
      <w:pPr>
        <w:ind w:left="720" w:hanging="360"/>
      </w:pPr>
      <w:rPr>
        <w:rFonts w:hint="default"/>
        <w:b/>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nsid w:val="64FC6B56"/>
    <w:multiLevelType w:val="hybridMultilevel"/>
    <w:tmpl w:val="63CC0C9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70EA18DB"/>
    <w:multiLevelType w:val="hybridMultilevel"/>
    <w:tmpl w:val="04FA5DCA"/>
    <w:lvl w:ilvl="0" w:tplc="62E43B72">
      <w:start w:val="1"/>
      <w:numFmt w:val="lowerLetter"/>
      <w:lvlText w:val="%1."/>
      <w:lvlJc w:val="left"/>
      <w:pPr>
        <w:ind w:left="720" w:hanging="360"/>
      </w:pPr>
      <w:rPr>
        <w:rFonts w:ascii="Arial" w:hAnsi="Arial" w:hint="default"/>
        <w:b/>
        <w:i w:val="0"/>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712E533E"/>
    <w:multiLevelType w:val="hybridMultilevel"/>
    <w:tmpl w:val="49E6958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77B400CC"/>
    <w:multiLevelType w:val="hybridMultilevel"/>
    <w:tmpl w:val="EE8654D8"/>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7AB713C9"/>
    <w:multiLevelType w:val="hybridMultilevel"/>
    <w:tmpl w:val="C82018D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7C690C2C"/>
    <w:multiLevelType w:val="hybridMultilevel"/>
    <w:tmpl w:val="4BFEA33A"/>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1">
    <w:nsid w:val="7D520B25"/>
    <w:multiLevelType w:val="multilevel"/>
    <w:tmpl w:val="88D255C8"/>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0"/>
  </w:num>
  <w:num w:numId="2">
    <w:abstractNumId w:val="9"/>
  </w:num>
  <w:num w:numId="3">
    <w:abstractNumId w:val="7"/>
  </w:num>
  <w:num w:numId="4">
    <w:abstractNumId w:val="8"/>
  </w:num>
  <w:num w:numId="5">
    <w:abstractNumId w:val="28"/>
  </w:num>
  <w:num w:numId="6">
    <w:abstractNumId w:val="23"/>
  </w:num>
  <w:num w:numId="7">
    <w:abstractNumId w:val="12"/>
  </w:num>
  <w:num w:numId="8">
    <w:abstractNumId w:val="25"/>
  </w:num>
  <w:num w:numId="9">
    <w:abstractNumId w:val="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11"/>
  </w:num>
  <w:num w:numId="14">
    <w:abstractNumId w:val="2"/>
  </w:num>
  <w:num w:numId="15">
    <w:abstractNumId w:val="31"/>
  </w:num>
  <w:num w:numId="16">
    <w:abstractNumId w:val="1"/>
  </w:num>
  <w:num w:numId="17">
    <w:abstractNumId w:val="26"/>
  </w:num>
  <w:num w:numId="18">
    <w:abstractNumId w:val="4"/>
  </w:num>
  <w:num w:numId="19">
    <w:abstractNumId w:val="24"/>
  </w:num>
  <w:num w:numId="20">
    <w:abstractNumId w:val="3"/>
  </w:num>
  <w:num w:numId="21">
    <w:abstractNumId w:val="29"/>
  </w:num>
  <w:num w:numId="22">
    <w:abstractNumId w:val="27"/>
  </w:num>
  <w:num w:numId="23">
    <w:abstractNumId w:val="18"/>
  </w:num>
  <w:num w:numId="24">
    <w:abstractNumId w:val="30"/>
  </w:num>
  <w:num w:numId="25">
    <w:abstractNumId w:val="5"/>
  </w:num>
  <w:num w:numId="26">
    <w:abstractNumId w:val="15"/>
  </w:num>
  <w:num w:numId="27">
    <w:abstractNumId w:val="19"/>
  </w:num>
  <w:num w:numId="28">
    <w:abstractNumId w:val="0"/>
  </w:num>
  <w:num w:numId="29">
    <w:abstractNumId w:val="22"/>
  </w:num>
  <w:num w:numId="30">
    <w:abstractNumId w:val="17"/>
  </w:num>
  <w:num w:numId="31">
    <w:abstractNumId w:val="21"/>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05F6"/>
    <w:rsid w:val="00001EDF"/>
    <w:rsid w:val="00003548"/>
    <w:rsid w:val="00003867"/>
    <w:rsid w:val="00004A4B"/>
    <w:rsid w:val="00007CF9"/>
    <w:rsid w:val="00012583"/>
    <w:rsid w:val="000137FC"/>
    <w:rsid w:val="00023A81"/>
    <w:rsid w:val="00033CC0"/>
    <w:rsid w:val="00035B82"/>
    <w:rsid w:val="000360A0"/>
    <w:rsid w:val="0003662F"/>
    <w:rsid w:val="00036CF6"/>
    <w:rsid w:val="0004114B"/>
    <w:rsid w:val="00041D4A"/>
    <w:rsid w:val="00042446"/>
    <w:rsid w:val="00042659"/>
    <w:rsid w:val="000437DE"/>
    <w:rsid w:val="00043B78"/>
    <w:rsid w:val="000472BC"/>
    <w:rsid w:val="000510E4"/>
    <w:rsid w:val="000533F1"/>
    <w:rsid w:val="00062E1B"/>
    <w:rsid w:val="00074032"/>
    <w:rsid w:val="00075162"/>
    <w:rsid w:val="00076755"/>
    <w:rsid w:val="00081862"/>
    <w:rsid w:val="00081F77"/>
    <w:rsid w:val="0008283E"/>
    <w:rsid w:val="0008387D"/>
    <w:rsid w:val="00085509"/>
    <w:rsid w:val="000865BC"/>
    <w:rsid w:val="000873E4"/>
    <w:rsid w:val="000A3280"/>
    <w:rsid w:val="000A5F49"/>
    <w:rsid w:val="000A75FB"/>
    <w:rsid w:val="000B19D2"/>
    <w:rsid w:val="000B6695"/>
    <w:rsid w:val="000B783B"/>
    <w:rsid w:val="000B7A56"/>
    <w:rsid w:val="000B7D61"/>
    <w:rsid w:val="000B7EB8"/>
    <w:rsid w:val="000C0F37"/>
    <w:rsid w:val="000C2009"/>
    <w:rsid w:val="000C3229"/>
    <w:rsid w:val="000C7349"/>
    <w:rsid w:val="000C7671"/>
    <w:rsid w:val="000D1349"/>
    <w:rsid w:val="000D1A31"/>
    <w:rsid w:val="000D229C"/>
    <w:rsid w:val="000D2794"/>
    <w:rsid w:val="000D4DAB"/>
    <w:rsid w:val="000D6755"/>
    <w:rsid w:val="000E3734"/>
    <w:rsid w:val="000E5E05"/>
    <w:rsid w:val="000F293D"/>
    <w:rsid w:val="000F685B"/>
    <w:rsid w:val="000F72DB"/>
    <w:rsid w:val="00100641"/>
    <w:rsid w:val="001052F9"/>
    <w:rsid w:val="00105B96"/>
    <w:rsid w:val="001078C1"/>
    <w:rsid w:val="001119AA"/>
    <w:rsid w:val="0011221B"/>
    <w:rsid w:val="00114EF1"/>
    <w:rsid w:val="00115209"/>
    <w:rsid w:val="00121B63"/>
    <w:rsid w:val="0012449E"/>
    <w:rsid w:val="001255D0"/>
    <w:rsid w:val="00127CEE"/>
    <w:rsid w:val="00131B7B"/>
    <w:rsid w:val="00135A28"/>
    <w:rsid w:val="0013726E"/>
    <w:rsid w:val="0014064C"/>
    <w:rsid w:val="001508E5"/>
    <w:rsid w:val="001557A3"/>
    <w:rsid w:val="0015719C"/>
    <w:rsid w:val="00162468"/>
    <w:rsid w:val="001626A3"/>
    <w:rsid w:val="00164870"/>
    <w:rsid w:val="00171655"/>
    <w:rsid w:val="00172648"/>
    <w:rsid w:val="00181EFC"/>
    <w:rsid w:val="00182314"/>
    <w:rsid w:val="00185684"/>
    <w:rsid w:val="001858C2"/>
    <w:rsid w:val="0018699C"/>
    <w:rsid w:val="00186F03"/>
    <w:rsid w:val="001A075F"/>
    <w:rsid w:val="001A0A6B"/>
    <w:rsid w:val="001A164F"/>
    <w:rsid w:val="001A18DD"/>
    <w:rsid w:val="001A70E7"/>
    <w:rsid w:val="001B3902"/>
    <w:rsid w:val="001B6E51"/>
    <w:rsid w:val="001C20B5"/>
    <w:rsid w:val="001C5BCF"/>
    <w:rsid w:val="001C7E55"/>
    <w:rsid w:val="001D0340"/>
    <w:rsid w:val="001E4FE6"/>
    <w:rsid w:val="001E5BA0"/>
    <w:rsid w:val="001E6117"/>
    <w:rsid w:val="001F1D83"/>
    <w:rsid w:val="001F3F12"/>
    <w:rsid w:val="001F4A67"/>
    <w:rsid w:val="001F6919"/>
    <w:rsid w:val="001F7BFF"/>
    <w:rsid w:val="00201389"/>
    <w:rsid w:val="002135BD"/>
    <w:rsid w:val="00217EAC"/>
    <w:rsid w:val="00221527"/>
    <w:rsid w:val="00230ABE"/>
    <w:rsid w:val="00233F0F"/>
    <w:rsid w:val="00246222"/>
    <w:rsid w:val="00253C2D"/>
    <w:rsid w:val="00262CE5"/>
    <w:rsid w:val="0026664C"/>
    <w:rsid w:val="00266D75"/>
    <w:rsid w:val="0026724C"/>
    <w:rsid w:val="002709AB"/>
    <w:rsid w:val="00272718"/>
    <w:rsid w:val="00275475"/>
    <w:rsid w:val="00277018"/>
    <w:rsid w:val="002848C7"/>
    <w:rsid w:val="002861EC"/>
    <w:rsid w:val="0028673D"/>
    <w:rsid w:val="002A173F"/>
    <w:rsid w:val="002B1A44"/>
    <w:rsid w:val="002B2C4A"/>
    <w:rsid w:val="002B4701"/>
    <w:rsid w:val="002B5FE6"/>
    <w:rsid w:val="002B76AA"/>
    <w:rsid w:val="002C314D"/>
    <w:rsid w:val="002C398F"/>
    <w:rsid w:val="002D36A2"/>
    <w:rsid w:val="002D3DB4"/>
    <w:rsid w:val="002D5E48"/>
    <w:rsid w:val="002D7B81"/>
    <w:rsid w:val="002E0034"/>
    <w:rsid w:val="002E0A72"/>
    <w:rsid w:val="002E2F6A"/>
    <w:rsid w:val="002E61EB"/>
    <w:rsid w:val="002F3F35"/>
    <w:rsid w:val="002F6FF8"/>
    <w:rsid w:val="003073B6"/>
    <w:rsid w:val="00307A32"/>
    <w:rsid w:val="00316929"/>
    <w:rsid w:val="003209B5"/>
    <w:rsid w:val="00326E33"/>
    <w:rsid w:val="00327302"/>
    <w:rsid w:val="003303AC"/>
    <w:rsid w:val="00331500"/>
    <w:rsid w:val="00332757"/>
    <w:rsid w:val="0033703E"/>
    <w:rsid w:val="00342398"/>
    <w:rsid w:val="00350054"/>
    <w:rsid w:val="00352696"/>
    <w:rsid w:val="00352B76"/>
    <w:rsid w:val="0035497B"/>
    <w:rsid w:val="0035681F"/>
    <w:rsid w:val="00361735"/>
    <w:rsid w:val="00363EE0"/>
    <w:rsid w:val="003761BD"/>
    <w:rsid w:val="003773DA"/>
    <w:rsid w:val="003805A5"/>
    <w:rsid w:val="00380A29"/>
    <w:rsid w:val="00386D31"/>
    <w:rsid w:val="00393252"/>
    <w:rsid w:val="00393D3B"/>
    <w:rsid w:val="00396A1B"/>
    <w:rsid w:val="003A0983"/>
    <w:rsid w:val="003A1DBC"/>
    <w:rsid w:val="003A1FA3"/>
    <w:rsid w:val="003A27E9"/>
    <w:rsid w:val="003A2FDB"/>
    <w:rsid w:val="003A3E14"/>
    <w:rsid w:val="003A41DD"/>
    <w:rsid w:val="003B3C23"/>
    <w:rsid w:val="003B472F"/>
    <w:rsid w:val="003B7C4F"/>
    <w:rsid w:val="003C0918"/>
    <w:rsid w:val="003C23A5"/>
    <w:rsid w:val="003C25BF"/>
    <w:rsid w:val="003C2B09"/>
    <w:rsid w:val="003C7B72"/>
    <w:rsid w:val="003D4FBB"/>
    <w:rsid w:val="003D70F8"/>
    <w:rsid w:val="003E0DF2"/>
    <w:rsid w:val="003E3820"/>
    <w:rsid w:val="003E6665"/>
    <w:rsid w:val="0040018B"/>
    <w:rsid w:val="00403116"/>
    <w:rsid w:val="00407354"/>
    <w:rsid w:val="00407FF8"/>
    <w:rsid w:val="004102D5"/>
    <w:rsid w:val="0041074C"/>
    <w:rsid w:val="00417079"/>
    <w:rsid w:val="004178AE"/>
    <w:rsid w:val="00417976"/>
    <w:rsid w:val="00420E34"/>
    <w:rsid w:val="00422938"/>
    <w:rsid w:val="00424C52"/>
    <w:rsid w:val="00430C56"/>
    <w:rsid w:val="004348C0"/>
    <w:rsid w:val="004359E7"/>
    <w:rsid w:val="00436EBC"/>
    <w:rsid w:val="00440FD1"/>
    <w:rsid w:val="00442A67"/>
    <w:rsid w:val="00445309"/>
    <w:rsid w:val="00446520"/>
    <w:rsid w:val="00451C03"/>
    <w:rsid w:val="00454D4E"/>
    <w:rsid w:val="00456302"/>
    <w:rsid w:val="00456438"/>
    <w:rsid w:val="004576DD"/>
    <w:rsid w:val="004635FF"/>
    <w:rsid w:val="00463EE0"/>
    <w:rsid w:val="00466E18"/>
    <w:rsid w:val="00472302"/>
    <w:rsid w:val="00487FFE"/>
    <w:rsid w:val="00490EBE"/>
    <w:rsid w:val="004957FD"/>
    <w:rsid w:val="004A61B4"/>
    <w:rsid w:val="004A73CF"/>
    <w:rsid w:val="004B1451"/>
    <w:rsid w:val="004B3A92"/>
    <w:rsid w:val="004B7461"/>
    <w:rsid w:val="004C040F"/>
    <w:rsid w:val="004C298A"/>
    <w:rsid w:val="004C313F"/>
    <w:rsid w:val="004C78DD"/>
    <w:rsid w:val="004C7F90"/>
    <w:rsid w:val="004D0AE3"/>
    <w:rsid w:val="004D5BC8"/>
    <w:rsid w:val="004E2687"/>
    <w:rsid w:val="004E2BA1"/>
    <w:rsid w:val="004E2C48"/>
    <w:rsid w:val="004E50C6"/>
    <w:rsid w:val="004E774E"/>
    <w:rsid w:val="004F05DC"/>
    <w:rsid w:val="004F1398"/>
    <w:rsid w:val="004F2A72"/>
    <w:rsid w:val="004F5CD1"/>
    <w:rsid w:val="004F6A9F"/>
    <w:rsid w:val="00500B71"/>
    <w:rsid w:val="00503644"/>
    <w:rsid w:val="00503673"/>
    <w:rsid w:val="0050408D"/>
    <w:rsid w:val="00504874"/>
    <w:rsid w:val="005056E7"/>
    <w:rsid w:val="00511329"/>
    <w:rsid w:val="00511766"/>
    <w:rsid w:val="005138EC"/>
    <w:rsid w:val="005201E8"/>
    <w:rsid w:val="00521754"/>
    <w:rsid w:val="005264D6"/>
    <w:rsid w:val="005274A1"/>
    <w:rsid w:val="005314BB"/>
    <w:rsid w:val="0053329D"/>
    <w:rsid w:val="005440B0"/>
    <w:rsid w:val="00544B96"/>
    <w:rsid w:val="00546EC0"/>
    <w:rsid w:val="00547E20"/>
    <w:rsid w:val="00552F42"/>
    <w:rsid w:val="005537E0"/>
    <w:rsid w:val="0056664F"/>
    <w:rsid w:val="00575401"/>
    <w:rsid w:val="00575F69"/>
    <w:rsid w:val="00576567"/>
    <w:rsid w:val="00576C22"/>
    <w:rsid w:val="0058187A"/>
    <w:rsid w:val="005854AE"/>
    <w:rsid w:val="00585907"/>
    <w:rsid w:val="00586512"/>
    <w:rsid w:val="00586FD8"/>
    <w:rsid w:val="005963DC"/>
    <w:rsid w:val="00597966"/>
    <w:rsid w:val="005A088C"/>
    <w:rsid w:val="005A4032"/>
    <w:rsid w:val="005A4DCB"/>
    <w:rsid w:val="005B5AC7"/>
    <w:rsid w:val="005C117C"/>
    <w:rsid w:val="005C63F3"/>
    <w:rsid w:val="005C77F5"/>
    <w:rsid w:val="005D3C48"/>
    <w:rsid w:val="005D61E9"/>
    <w:rsid w:val="005E03A8"/>
    <w:rsid w:val="005E03F9"/>
    <w:rsid w:val="005E451A"/>
    <w:rsid w:val="005E53F2"/>
    <w:rsid w:val="005E6814"/>
    <w:rsid w:val="005F3544"/>
    <w:rsid w:val="0061055D"/>
    <w:rsid w:val="006238FB"/>
    <w:rsid w:val="00624363"/>
    <w:rsid w:val="006245E2"/>
    <w:rsid w:val="00624E62"/>
    <w:rsid w:val="006253FE"/>
    <w:rsid w:val="0063029F"/>
    <w:rsid w:val="00634DEC"/>
    <w:rsid w:val="00641366"/>
    <w:rsid w:val="00643009"/>
    <w:rsid w:val="00647BB7"/>
    <w:rsid w:val="00647BB9"/>
    <w:rsid w:val="0065326C"/>
    <w:rsid w:val="00653364"/>
    <w:rsid w:val="00655D39"/>
    <w:rsid w:val="00655FE0"/>
    <w:rsid w:val="00662CDA"/>
    <w:rsid w:val="00663CBF"/>
    <w:rsid w:val="00667857"/>
    <w:rsid w:val="00674A71"/>
    <w:rsid w:val="00675705"/>
    <w:rsid w:val="00676C07"/>
    <w:rsid w:val="006805F6"/>
    <w:rsid w:val="00682F25"/>
    <w:rsid w:val="006918CD"/>
    <w:rsid w:val="00693DD9"/>
    <w:rsid w:val="006A0F75"/>
    <w:rsid w:val="006A44A4"/>
    <w:rsid w:val="006A7928"/>
    <w:rsid w:val="006B3E95"/>
    <w:rsid w:val="006B7DE8"/>
    <w:rsid w:val="006C5E70"/>
    <w:rsid w:val="006C661D"/>
    <w:rsid w:val="006C6D45"/>
    <w:rsid w:val="006D2CA5"/>
    <w:rsid w:val="006D6B4E"/>
    <w:rsid w:val="006E15F4"/>
    <w:rsid w:val="006E1EB0"/>
    <w:rsid w:val="006E2D85"/>
    <w:rsid w:val="006E5683"/>
    <w:rsid w:val="006E62E1"/>
    <w:rsid w:val="006E67CF"/>
    <w:rsid w:val="006F412C"/>
    <w:rsid w:val="006F5A04"/>
    <w:rsid w:val="00700888"/>
    <w:rsid w:val="00703D74"/>
    <w:rsid w:val="00710E6C"/>
    <w:rsid w:val="00711094"/>
    <w:rsid w:val="007119E7"/>
    <w:rsid w:val="007172D4"/>
    <w:rsid w:val="007232E2"/>
    <w:rsid w:val="00725B41"/>
    <w:rsid w:val="00726B4B"/>
    <w:rsid w:val="007306FE"/>
    <w:rsid w:val="00736412"/>
    <w:rsid w:val="0073700B"/>
    <w:rsid w:val="007379A2"/>
    <w:rsid w:val="00737DDA"/>
    <w:rsid w:val="00741B33"/>
    <w:rsid w:val="0074228E"/>
    <w:rsid w:val="007463E9"/>
    <w:rsid w:val="00751B1E"/>
    <w:rsid w:val="00752AD8"/>
    <w:rsid w:val="007535B9"/>
    <w:rsid w:val="00754997"/>
    <w:rsid w:val="00760AAE"/>
    <w:rsid w:val="0076168E"/>
    <w:rsid w:val="00764751"/>
    <w:rsid w:val="00766F4F"/>
    <w:rsid w:val="00770B7E"/>
    <w:rsid w:val="007723D1"/>
    <w:rsid w:val="00781945"/>
    <w:rsid w:val="007847E1"/>
    <w:rsid w:val="00784ED2"/>
    <w:rsid w:val="0078714C"/>
    <w:rsid w:val="00787571"/>
    <w:rsid w:val="00793C8F"/>
    <w:rsid w:val="007A0F82"/>
    <w:rsid w:val="007A61AE"/>
    <w:rsid w:val="007B2C3B"/>
    <w:rsid w:val="007B3CBA"/>
    <w:rsid w:val="007B5DFC"/>
    <w:rsid w:val="007C3131"/>
    <w:rsid w:val="007C4259"/>
    <w:rsid w:val="007D07B8"/>
    <w:rsid w:val="007D0B57"/>
    <w:rsid w:val="007D2755"/>
    <w:rsid w:val="007E2A9E"/>
    <w:rsid w:val="007F017A"/>
    <w:rsid w:val="007F6633"/>
    <w:rsid w:val="007F6B75"/>
    <w:rsid w:val="008008BD"/>
    <w:rsid w:val="00801C9A"/>
    <w:rsid w:val="00803A6E"/>
    <w:rsid w:val="00805A11"/>
    <w:rsid w:val="00806462"/>
    <w:rsid w:val="00807599"/>
    <w:rsid w:val="00814B3E"/>
    <w:rsid w:val="00822BFB"/>
    <w:rsid w:val="00823BA0"/>
    <w:rsid w:val="0082745A"/>
    <w:rsid w:val="00827DFC"/>
    <w:rsid w:val="008378C9"/>
    <w:rsid w:val="00844B8D"/>
    <w:rsid w:val="00846359"/>
    <w:rsid w:val="00846BC3"/>
    <w:rsid w:val="00852459"/>
    <w:rsid w:val="008542A2"/>
    <w:rsid w:val="008565F8"/>
    <w:rsid w:val="00856A7D"/>
    <w:rsid w:val="008573C9"/>
    <w:rsid w:val="00863468"/>
    <w:rsid w:val="008643ED"/>
    <w:rsid w:val="00873446"/>
    <w:rsid w:val="008738CB"/>
    <w:rsid w:val="00873B9F"/>
    <w:rsid w:val="00876A4C"/>
    <w:rsid w:val="0087732C"/>
    <w:rsid w:val="0088461B"/>
    <w:rsid w:val="008850B3"/>
    <w:rsid w:val="0089173F"/>
    <w:rsid w:val="008921C5"/>
    <w:rsid w:val="00892A8F"/>
    <w:rsid w:val="008A30B1"/>
    <w:rsid w:val="008A6DC4"/>
    <w:rsid w:val="008A7B1C"/>
    <w:rsid w:val="008A7C88"/>
    <w:rsid w:val="008B23C9"/>
    <w:rsid w:val="008B2E4D"/>
    <w:rsid w:val="008B3AFB"/>
    <w:rsid w:val="008B5162"/>
    <w:rsid w:val="008B6387"/>
    <w:rsid w:val="008B7E32"/>
    <w:rsid w:val="008C0199"/>
    <w:rsid w:val="008C1688"/>
    <w:rsid w:val="008C33D4"/>
    <w:rsid w:val="008C3B18"/>
    <w:rsid w:val="008C7BD2"/>
    <w:rsid w:val="008D09F2"/>
    <w:rsid w:val="008D1747"/>
    <w:rsid w:val="008D1FFD"/>
    <w:rsid w:val="008E18D6"/>
    <w:rsid w:val="008E1D48"/>
    <w:rsid w:val="008E41C4"/>
    <w:rsid w:val="008E5945"/>
    <w:rsid w:val="008E5D6D"/>
    <w:rsid w:val="008F02EB"/>
    <w:rsid w:val="00900F16"/>
    <w:rsid w:val="009049D0"/>
    <w:rsid w:val="009163CA"/>
    <w:rsid w:val="00917154"/>
    <w:rsid w:val="009177D5"/>
    <w:rsid w:val="00921D42"/>
    <w:rsid w:val="009247B4"/>
    <w:rsid w:val="00926426"/>
    <w:rsid w:val="009273A8"/>
    <w:rsid w:val="00927745"/>
    <w:rsid w:val="009308C4"/>
    <w:rsid w:val="00931822"/>
    <w:rsid w:val="00937D1D"/>
    <w:rsid w:val="00942022"/>
    <w:rsid w:val="009424DA"/>
    <w:rsid w:val="009547F1"/>
    <w:rsid w:val="009549DE"/>
    <w:rsid w:val="00957107"/>
    <w:rsid w:val="00957CAA"/>
    <w:rsid w:val="00963FDE"/>
    <w:rsid w:val="0096747D"/>
    <w:rsid w:val="009712F5"/>
    <w:rsid w:val="0098214B"/>
    <w:rsid w:val="00984124"/>
    <w:rsid w:val="0098748F"/>
    <w:rsid w:val="009919AA"/>
    <w:rsid w:val="009925B3"/>
    <w:rsid w:val="00995572"/>
    <w:rsid w:val="009A3259"/>
    <w:rsid w:val="009A7B65"/>
    <w:rsid w:val="009C0D8E"/>
    <w:rsid w:val="009D19BC"/>
    <w:rsid w:val="009D478D"/>
    <w:rsid w:val="009E36CC"/>
    <w:rsid w:val="009F65C9"/>
    <w:rsid w:val="00A07F0C"/>
    <w:rsid w:val="00A12C67"/>
    <w:rsid w:val="00A134FE"/>
    <w:rsid w:val="00A13864"/>
    <w:rsid w:val="00A1607F"/>
    <w:rsid w:val="00A219AF"/>
    <w:rsid w:val="00A22A82"/>
    <w:rsid w:val="00A23756"/>
    <w:rsid w:val="00A2433A"/>
    <w:rsid w:val="00A328FF"/>
    <w:rsid w:val="00A36337"/>
    <w:rsid w:val="00A36BA9"/>
    <w:rsid w:val="00A40D66"/>
    <w:rsid w:val="00A439CB"/>
    <w:rsid w:val="00A47170"/>
    <w:rsid w:val="00A47973"/>
    <w:rsid w:val="00A56C25"/>
    <w:rsid w:val="00A57BBB"/>
    <w:rsid w:val="00A60AE9"/>
    <w:rsid w:val="00A6256B"/>
    <w:rsid w:val="00A6443B"/>
    <w:rsid w:val="00A71041"/>
    <w:rsid w:val="00A717F7"/>
    <w:rsid w:val="00A774E6"/>
    <w:rsid w:val="00A874EB"/>
    <w:rsid w:val="00A951D1"/>
    <w:rsid w:val="00AA0F94"/>
    <w:rsid w:val="00AA703C"/>
    <w:rsid w:val="00AB08DB"/>
    <w:rsid w:val="00AB10A9"/>
    <w:rsid w:val="00AB1ABF"/>
    <w:rsid w:val="00AB2E19"/>
    <w:rsid w:val="00AB3CE6"/>
    <w:rsid w:val="00AC1E0B"/>
    <w:rsid w:val="00AC3C20"/>
    <w:rsid w:val="00AF5E88"/>
    <w:rsid w:val="00AF62E6"/>
    <w:rsid w:val="00AF7987"/>
    <w:rsid w:val="00B005DD"/>
    <w:rsid w:val="00B017BC"/>
    <w:rsid w:val="00B03551"/>
    <w:rsid w:val="00B04F55"/>
    <w:rsid w:val="00B05AA2"/>
    <w:rsid w:val="00B06716"/>
    <w:rsid w:val="00B10097"/>
    <w:rsid w:val="00B11C62"/>
    <w:rsid w:val="00B12E21"/>
    <w:rsid w:val="00B14801"/>
    <w:rsid w:val="00B24DB5"/>
    <w:rsid w:val="00B27765"/>
    <w:rsid w:val="00B32092"/>
    <w:rsid w:val="00B33357"/>
    <w:rsid w:val="00B3443A"/>
    <w:rsid w:val="00B4196B"/>
    <w:rsid w:val="00B44F44"/>
    <w:rsid w:val="00B50213"/>
    <w:rsid w:val="00B521B5"/>
    <w:rsid w:val="00B54A51"/>
    <w:rsid w:val="00B56045"/>
    <w:rsid w:val="00B56088"/>
    <w:rsid w:val="00B61B8C"/>
    <w:rsid w:val="00B62A4D"/>
    <w:rsid w:val="00B64BF4"/>
    <w:rsid w:val="00B677CB"/>
    <w:rsid w:val="00B6790E"/>
    <w:rsid w:val="00B7072A"/>
    <w:rsid w:val="00B77E63"/>
    <w:rsid w:val="00B851BC"/>
    <w:rsid w:val="00B852A9"/>
    <w:rsid w:val="00BA2DA8"/>
    <w:rsid w:val="00BA5154"/>
    <w:rsid w:val="00BA5BDA"/>
    <w:rsid w:val="00BB29CC"/>
    <w:rsid w:val="00BB2B8F"/>
    <w:rsid w:val="00BB3EC4"/>
    <w:rsid w:val="00BB5E44"/>
    <w:rsid w:val="00BB7A0F"/>
    <w:rsid w:val="00BC3AE3"/>
    <w:rsid w:val="00BC4563"/>
    <w:rsid w:val="00BD19CD"/>
    <w:rsid w:val="00BD3C64"/>
    <w:rsid w:val="00BD493C"/>
    <w:rsid w:val="00BE050B"/>
    <w:rsid w:val="00BE1C4F"/>
    <w:rsid w:val="00BE234C"/>
    <w:rsid w:val="00BE2FDC"/>
    <w:rsid w:val="00BE5C76"/>
    <w:rsid w:val="00BE7B7E"/>
    <w:rsid w:val="00BF1765"/>
    <w:rsid w:val="00BF1D56"/>
    <w:rsid w:val="00BF1F3A"/>
    <w:rsid w:val="00BF46E2"/>
    <w:rsid w:val="00BF4E08"/>
    <w:rsid w:val="00C039D8"/>
    <w:rsid w:val="00C03A1F"/>
    <w:rsid w:val="00C04B8E"/>
    <w:rsid w:val="00C05EA0"/>
    <w:rsid w:val="00C11E6F"/>
    <w:rsid w:val="00C13DAB"/>
    <w:rsid w:val="00C16B93"/>
    <w:rsid w:val="00C171B8"/>
    <w:rsid w:val="00C2128B"/>
    <w:rsid w:val="00C2576B"/>
    <w:rsid w:val="00C402D9"/>
    <w:rsid w:val="00C41266"/>
    <w:rsid w:val="00C44598"/>
    <w:rsid w:val="00C513EA"/>
    <w:rsid w:val="00C51492"/>
    <w:rsid w:val="00C520B8"/>
    <w:rsid w:val="00C609D4"/>
    <w:rsid w:val="00C60E16"/>
    <w:rsid w:val="00C641A6"/>
    <w:rsid w:val="00C65587"/>
    <w:rsid w:val="00C71526"/>
    <w:rsid w:val="00C763C7"/>
    <w:rsid w:val="00C76A66"/>
    <w:rsid w:val="00C77857"/>
    <w:rsid w:val="00C77CF4"/>
    <w:rsid w:val="00C80D2D"/>
    <w:rsid w:val="00C8548B"/>
    <w:rsid w:val="00C85CE4"/>
    <w:rsid w:val="00C87B35"/>
    <w:rsid w:val="00C92428"/>
    <w:rsid w:val="00C9282C"/>
    <w:rsid w:val="00C9742D"/>
    <w:rsid w:val="00CA50A5"/>
    <w:rsid w:val="00CA7FA4"/>
    <w:rsid w:val="00CB1FE0"/>
    <w:rsid w:val="00CB237E"/>
    <w:rsid w:val="00CB4CB4"/>
    <w:rsid w:val="00CC6FBE"/>
    <w:rsid w:val="00CD0FC9"/>
    <w:rsid w:val="00CD2266"/>
    <w:rsid w:val="00CD2EE5"/>
    <w:rsid w:val="00CD6D59"/>
    <w:rsid w:val="00CE0151"/>
    <w:rsid w:val="00CF25BA"/>
    <w:rsid w:val="00CF7324"/>
    <w:rsid w:val="00D037BF"/>
    <w:rsid w:val="00D03F22"/>
    <w:rsid w:val="00D05793"/>
    <w:rsid w:val="00D06860"/>
    <w:rsid w:val="00D14DF4"/>
    <w:rsid w:val="00D1603C"/>
    <w:rsid w:val="00D16B3B"/>
    <w:rsid w:val="00D172D5"/>
    <w:rsid w:val="00D21158"/>
    <w:rsid w:val="00D313C2"/>
    <w:rsid w:val="00D33328"/>
    <w:rsid w:val="00D40784"/>
    <w:rsid w:val="00D42D7C"/>
    <w:rsid w:val="00D436C5"/>
    <w:rsid w:val="00D4555C"/>
    <w:rsid w:val="00D45BC9"/>
    <w:rsid w:val="00D464EA"/>
    <w:rsid w:val="00D47EF4"/>
    <w:rsid w:val="00D52B8A"/>
    <w:rsid w:val="00D53734"/>
    <w:rsid w:val="00D56A04"/>
    <w:rsid w:val="00D6613A"/>
    <w:rsid w:val="00D67E21"/>
    <w:rsid w:val="00D70E1B"/>
    <w:rsid w:val="00D729A9"/>
    <w:rsid w:val="00D72D22"/>
    <w:rsid w:val="00D76195"/>
    <w:rsid w:val="00D8024A"/>
    <w:rsid w:val="00D87C74"/>
    <w:rsid w:val="00D91B79"/>
    <w:rsid w:val="00D9732E"/>
    <w:rsid w:val="00DA2500"/>
    <w:rsid w:val="00DA48C1"/>
    <w:rsid w:val="00DA572E"/>
    <w:rsid w:val="00DB1108"/>
    <w:rsid w:val="00DB5C87"/>
    <w:rsid w:val="00DC66C5"/>
    <w:rsid w:val="00DC7B48"/>
    <w:rsid w:val="00DD1252"/>
    <w:rsid w:val="00DD1C73"/>
    <w:rsid w:val="00DD489B"/>
    <w:rsid w:val="00DD4EAE"/>
    <w:rsid w:val="00DE4010"/>
    <w:rsid w:val="00DE4C2B"/>
    <w:rsid w:val="00DF2876"/>
    <w:rsid w:val="00DF3972"/>
    <w:rsid w:val="00DF757A"/>
    <w:rsid w:val="00E06919"/>
    <w:rsid w:val="00E06CFC"/>
    <w:rsid w:val="00E10E03"/>
    <w:rsid w:val="00E13C4E"/>
    <w:rsid w:val="00E1713A"/>
    <w:rsid w:val="00E36F68"/>
    <w:rsid w:val="00E41D56"/>
    <w:rsid w:val="00E423A0"/>
    <w:rsid w:val="00E4373D"/>
    <w:rsid w:val="00E46B39"/>
    <w:rsid w:val="00E471AD"/>
    <w:rsid w:val="00E509F2"/>
    <w:rsid w:val="00E62410"/>
    <w:rsid w:val="00E62D7E"/>
    <w:rsid w:val="00E65733"/>
    <w:rsid w:val="00E6718E"/>
    <w:rsid w:val="00E7122D"/>
    <w:rsid w:val="00E71D52"/>
    <w:rsid w:val="00E736CD"/>
    <w:rsid w:val="00E740FE"/>
    <w:rsid w:val="00E77954"/>
    <w:rsid w:val="00E81885"/>
    <w:rsid w:val="00E8263B"/>
    <w:rsid w:val="00E865C6"/>
    <w:rsid w:val="00E9201E"/>
    <w:rsid w:val="00EA07F4"/>
    <w:rsid w:val="00EB2327"/>
    <w:rsid w:val="00EB5562"/>
    <w:rsid w:val="00EB5963"/>
    <w:rsid w:val="00EB5BB3"/>
    <w:rsid w:val="00EB681E"/>
    <w:rsid w:val="00EB69E2"/>
    <w:rsid w:val="00EC4D94"/>
    <w:rsid w:val="00EC63A5"/>
    <w:rsid w:val="00ED28C8"/>
    <w:rsid w:val="00ED4903"/>
    <w:rsid w:val="00ED62F2"/>
    <w:rsid w:val="00EF3B8D"/>
    <w:rsid w:val="00EF4ED0"/>
    <w:rsid w:val="00EF76E7"/>
    <w:rsid w:val="00EF7847"/>
    <w:rsid w:val="00F00C84"/>
    <w:rsid w:val="00F0472A"/>
    <w:rsid w:val="00F178AD"/>
    <w:rsid w:val="00F22E75"/>
    <w:rsid w:val="00F24F5F"/>
    <w:rsid w:val="00F31478"/>
    <w:rsid w:val="00F31FAE"/>
    <w:rsid w:val="00F371E1"/>
    <w:rsid w:val="00F40B80"/>
    <w:rsid w:val="00F40F7C"/>
    <w:rsid w:val="00F44077"/>
    <w:rsid w:val="00F4576D"/>
    <w:rsid w:val="00F45ACE"/>
    <w:rsid w:val="00F460DA"/>
    <w:rsid w:val="00F47CF4"/>
    <w:rsid w:val="00F53178"/>
    <w:rsid w:val="00F54022"/>
    <w:rsid w:val="00F55767"/>
    <w:rsid w:val="00F56255"/>
    <w:rsid w:val="00F56D5A"/>
    <w:rsid w:val="00F573C5"/>
    <w:rsid w:val="00F61C4E"/>
    <w:rsid w:val="00F62E0A"/>
    <w:rsid w:val="00F64284"/>
    <w:rsid w:val="00F645A7"/>
    <w:rsid w:val="00F67175"/>
    <w:rsid w:val="00F752D1"/>
    <w:rsid w:val="00F75488"/>
    <w:rsid w:val="00F76D18"/>
    <w:rsid w:val="00F77CB5"/>
    <w:rsid w:val="00F80C74"/>
    <w:rsid w:val="00F83E6A"/>
    <w:rsid w:val="00F8669A"/>
    <w:rsid w:val="00F8704F"/>
    <w:rsid w:val="00F87F4B"/>
    <w:rsid w:val="00F94DC8"/>
    <w:rsid w:val="00F95F41"/>
    <w:rsid w:val="00F97567"/>
    <w:rsid w:val="00F97848"/>
    <w:rsid w:val="00FA0883"/>
    <w:rsid w:val="00FA1B8C"/>
    <w:rsid w:val="00FA1BB8"/>
    <w:rsid w:val="00FA573C"/>
    <w:rsid w:val="00FA5993"/>
    <w:rsid w:val="00FB0505"/>
    <w:rsid w:val="00FB2A4D"/>
    <w:rsid w:val="00FB514B"/>
    <w:rsid w:val="00FC14E7"/>
    <w:rsid w:val="00FC2504"/>
    <w:rsid w:val="00FC6451"/>
    <w:rsid w:val="00FD5EDE"/>
    <w:rsid w:val="00FE6354"/>
    <w:rsid w:val="00FF0C90"/>
    <w:rsid w:val="00FF1F8D"/>
    <w:rsid w:val="00FF38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2E1"/>
  </w:style>
  <w:style w:type="paragraph" w:styleId="Ttulo1">
    <w:name w:val="heading 1"/>
    <w:basedOn w:val="Normal"/>
    <w:next w:val="Normal"/>
    <w:link w:val="Ttulo1Car"/>
    <w:uiPriority w:val="9"/>
    <w:qFormat/>
    <w:rsid w:val="00AB10A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9547F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F67175"/>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BE1C4F"/>
    <w:pPr>
      <w:keepNext/>
      <w:keepLines/>
      <w:spacing w:before="20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character" w:customStyle="1" w:styleId="Ttulo1Car">
    <w:name w:val="Título 1 Car"/>
    <w:basedOn w:val="Fuentedeprrafopredeter"/>
    <w:link w:val="Ttulo1"/>
    <w:uiPriority w:val="9"/>
    <w:rsid w:val="00AB10A9"/>
    <w:rPr>
      <w:rFonts w:asciiTheme="majorHAnsi" w:eastAsiaTheme="majorEastAsia" w:hAnsiTheme="majorHAnsi" w:cstheme="majorBidi"/>
      <w:b/>
      <w:bCs/>
      <w:color w:val="2E74B5" w:themeColor="accent1" w:themeShade="BF"/>
      <w:sz w:val="28"/>
      <w:szCs w:val="28"/>
    </w:rPr>
  </w:style>
  <w:style w:type="paragraph" w:styleId="Prrafodelista">
    <w:name w:val="List Paragraph"/>
    <w:basedOn w:val="Normal"/>
    <w:uiPriority w:val="34"/>
    <w:qFormat/>
    <w:rsid w:val="00CB237E"/>
    <w:pPr>
      <w:ind w:left="720"/>
      <w:contextualSpacing/>
    </w:pPr>
  </w:style>
  <w:style w:type="table" w:customStyle="1" w:styleId="Tabladelista6concolores-nfasis21">
    <w:name w:val="Tabla de lista 6 con colores - Énfasis 21"/>
    <w:basedOn w:val="Tablanormal"/>
    <w:uiPriority w:val="51"/>
    <w:rsid w:val="00693DD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7concolores-nfasis21">
    <w:name w:val="Tabla de lista 7 con colores - Énfasis 21"/>
    <w:basedOn w:val="Tablanormal"/>
    <w:uiPriority w:val="52"/>
    <w:rsid w:val="00693DD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4-nfasis11">
    <w:name w:val="Tabla de lista 4 - Énfasis 11"/>
    <w:basedOn w:val="Tablanormal"/>
    <w:uiPriority w:val="49"/>
    <w:rsid w:val="00693DD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aclara-nfasis4">
    <w:name w:val="Light List Accent 4"/>
    <w:basedOn w:val="Tablanormal"/>
    <w:uiPriority w:val="61"/>
    <w:rsid w:val="00C77CF4"/>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NormalWeb">
    <w:name w:val="Normal (Web)"/>
    <w:basedOn w:val="Normal"/>
    <w:uiPriority w:val="99"/>
    <w:unhideWhenUsed/>
    <w:rsid w:val="00A13864"/>
    <w:pPr>
      <w:spacing w:before="100" w:beforeAutospacing="1" w:after="100" w:afterAutospacing="1"/>
    </w:pPr>
    <w:rPr>
      <w:rFonts w:ascii="Times New Roman" w:eastAsiaTheme="minorEastAsia" w:hAnsi="Times New Roman" w:cs="Times New Roman"/>
      <w:sz w:val="24"/>
      <w:szCs w:val="24"/>
      <w:lang w:eastAsia="es-CO"/>
    </w:rPr>
  </w:style>
  <w:style w:type="paragraph" w:styleId="Sinespaciado">
    <w:name w:val="No Spacing"/>
    <w:uiPriority w:val="1"/>
    <w:qFormat/>
    <w:rsid w:val="00B10097"/>
  </w:style>
  <w:style w:type="paragraph" w:styleId="Textocomentario">
    <w:name w:val="annotation text"/>
    <w:basedOn w:val="Normal"/>
    <w:link w:val="TextocomentarioCar"/>
    <w:rsid w:val="006B7DE8"/>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6B7DE8"/>
    <w:rPr>
      <w:rFonts w:ascii="Times New Roman" w:eastAsia="Times New Roman" w:hAnsi="Times New Roman" w:cs="Times New Roman"/>
      <w:sz w:val="20"/>
      <w:szCs w:val="20"/>
      <w:lang w:val="es-ES" w:eastAsia="es-ES"/>
    </w:rPr>
  </w:style>
  <w:style w:type="table" w:styleId="Sombreadoclaro-nfasis2">
    <w:name w:val="Light Shading Accent 2"/>
    <w:basedOn w:val="Tablanormal"/>
    <w:uiPriority w:val="60"/>
    <w:rsid w:val="0063029F"/>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1">
    <w:name w:val="Light Shading Accent 1"/>
    <w:basedOn w:val="Tablanormal"/>
    <w:uiPriority w:val="60"/>
    <w:rsid w:val="00504874"/>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staclara-nfasis2">
    <w:name w:val="Light List Accent 2"/>
    <w:basedOn w:val="Tablanormal"/>
    <w:uiPriority w:val="61"/>
    <w:rsid w:val="004E50C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Ttulo2Car">
    <w:name w:val="Título 2 Car"/>
    <w:basedOn w:val="Fuentedeprrafopredeter"/>
    <w:link w:val="Ttulo2"/>
    <w:uiPriority w:val="9"/>
    <w:rsid w:val="009547F1"/>
    <w:rPr>
      <w:rFonts w:asciiTheme="majorHAnsi" w:eastAsiaTheme="majorEastAsia" w:hAnsiTheme="majorHAnsi" w:cstheme="majorBidi"/>
      <w:b/>
      <w:bCs/>
      <w:color w:val="5B9BD5" w:themeColor="accent1"/>
      <w:sz w:val="26"/>
      <w:szCs w:val="26"/>
    </w:rPr>
  </w:style>
  <w:style w:type="table" w:customStyle="1" w:styleId="Tabladelista5oscura-nfasis21">
    <w:name w:val="Tabla de lista 5 oscura - Énfasis 21"/>
    <w:basedOn w:val="Tablanormal"/>
    <w:uiPriority w:val="50"/>
    <w:rsid w:val="004348C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4-nfasis61">
    <w:name w:val="Tabla de lista 4 - Énfasis 61"/>
    <w:basedOn w:val="Tablanormal"/>
    <w:uiPriority w:val="49"/>
    <w:rsid w:val="004348C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
    <w:name w:val="Table Grid"/>
    <w:basedOn w:val="Tablanormal"/>
    <w:uiPriority w:val="39"/>
    <w:rsid w:val="00A47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21">
    <w:name w:val="Tabla de cuadrícula 4 - Énfasis 21"/>
    <w:basedOn w:val="Tablanormal"/>
    <w:uiPriority w:val="49"/>
    <w:rsid w:val="00BC456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5oscura-nfasis61">
    <w:name w:val="Tabla de lista 5 oscura - Énfasis 61"/>
    <w:basedOn w:val="Tablanormal"/>
    <w:uiPriority w:val="50"/>
    <w:rsid w:val="006D2CA5"/>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41">
    <w:name w:val="Tabla de lista 5 oscura - Énfasis 41"/>
    <w:basedOn w:val="Tablanormal"/>
    <w:uiPriority w:val="50"/>
    <w:rsid w:val="00E71D52"/>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ombreadomedio1-nfasis2">
    <w:name w:val="Medium Shading 1 Accent 2"/>
    <w:basedOn w:val="Tablanormal"/>
    <w:uiPriority w:val="63"/>
    <w:rsid w:val="005E53F2"/>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Listavistosa-nfasis3">
    <w:name w:val="Colorful List Accent 3"/>
    <w:basedOn w:val="Tablanormal"/>
    <w:uiPriority w:val="72"/>
    <w:rsid w:val="00C51492"/>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ombreadomedio1-nfasis6">
    <w:name w:val="Medium Shading 1 Accent 6"/>
    <w:basedOn w:val="Tablanormal"/>
    <w:uiPriority w:val="63"/>
    <w:rsid w:val="00C51492"/>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F87F4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A07F0C"/>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Cuadrculaclara-nfasis1">
    <w:name w:val="Light Grid Accent 1"/>
    <w:basedOn w:val="Tablanormal"/>
    <w:uiPriority w:val="62"/>
    <w:rsid w:val="00424C52"/>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Epgrafe">
    <w:name w:val="caption"/>
    <w:basedOn w:val="Normal"/>
    <w:next w:val="Normal"/>
    <w:unhideWhenUsed/>
    <w:qFormat/>
    <w:rsid w:val="001119AA"/>
    <w:pPr>
      <w:spacing w:after="200" w:line="360" w:lineRule="auto"/>
    </w:pPr>
    <w:rPr>
      <w:rFonts w:ascii="Times New Roman" w:eastAsia="Times" w:hAnsi="Times New Roman" w:cs="Times New Roman"/>
      <w:b/>
      <w:bCs/>
      <w:color w:val="4F81BD"/>
      <w:sz w:val="18"/>
      <w:szCs w:val="18"/>
      <w:lang w:val="en-US" w:eastAsia="es-ES"/>
    </w:rPr>
  </w:style>
  <w:style w:type="character" w:styleId="Refdecomentario">
    <w:name w:val="annotation reference"/>
    <w:basedOn w:val="Fuentedeprrafopredeter"/>
    <w:uiPriority w:val="99"/>
    <w:semiHidden/>
    <w:unhideWhenUsed/>
    <w:rsid w:val="00456438"/>
    <w:rPr>
      <w:sz w:val="16"/>
      <w:szCs w:val="16"/>
    </w:rPr>
  </w:style>
  <w:style w:type="paragraph" w:styleId="Asuntodelcomentario">
    <w:name w:val="annotation subject"/>
    <w:basedOn w:val="Textocomentario"/>
    <w:next w:val="Textocomentario"/>
    <w:link w:val="AsuntodelcomentarioCar"/>
    <w:uiPriority w:val="99"/>
    <w:semiHidden/>
    <w:unhideWhenUsed/>
    <w:rsid w:val="00456438"/>
    <w:rPr>
      <w:rFonts w:asciiTheme="minorHAnsi" w:eastAsiaTheme="minorHAnsi" w:hAnsiTheme="minorHAnsi" w:cstheme="minorBidi"/>
      <w:b/>
      <w:bCs/>
      <w:lang w:val="es-CO" w:eastAsia="en-US"/>
    </w:rPr>
  </w:style>
  <w:style w:type="character" w:customStyle="1" w:styleId="AsuntodelcomentarioCar">
    <w:name w:val="Asunto del comentario Car"/>
    <w:basedOn w:val="TextocomentarioCar"/>
    <w:link w:val="Asuntodelcomentario"/>
    <w:uiPriority w:val="99"/>
    <w:semiHidden/>
    <w:rsid w:val="00456438"/>
    <w:rPr>
      <w:rFonts w:ascii="Times New Roman" w:eastAsia="Times New Roman" w:hAnsi="Times New Roman" w:cs="Times New Roman"/>
      <w:b/>
      <w:bCs/>
      <w:sz w:val="20"/>
      <w:szCs w:val="20"/>
      <w:lang w:val="es-ES" w:eastAsia="es-ES"/>
    </w:rPr>
  </w:style>
  <w:style w:type="paragraph" w:customStyle="1" w:styleId="Default">
    <w:name w:val="Default"/>
    <w:rsid w:val="00576567"/>
    <w:pPr>
      <w:autoSpaceDE w:val="0"/>
      <w:autoSpaceDN w:val="0"/>
      <w:adjustRightInd w:val="0"/>
    </w:pPr>
    <w:rPr>
      <w:rFonts w:ascii="Arial" w:hAnsi="Arial" w:cs="Arial"/>
      <w:color w:val="000000"/>
      <w:sz w:val="24"/>
      <w:szCs w:val="24"/>
    </w:rPr>
  </w:style>
  <w:style w:type="table" w:styleId="Listaclara-nfasis1">
    <w:name w:val="Light List Accent 1"/>
    <w:basedOn w:val="Tablanormal"/>
    <w:uiPriority w:val="61"/>
    <w:rsid w:val="006A44A4"/>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Cuadrculaclara-nfasis6">
    <w:name w:val="Light Grid Accent 6"/>
    <w:basedOn w:val="Tablanormal"/>
    <w:uiPriority w:val="62"/>
    <w:rsid w:val="007C425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Cuadrculaclara-nfasis2">
    <w:name w:val="Light Grid Accent 2"/>
    <w:basedOn w:val="Tablanormal"/>
    <w:uiPriority w:val="62"/>
    <w:rsid w:val="007C425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4">
    <w:name w:val="Light Grid Accent 4"/>
    <w:basedOn w:val="Tablanormal"/>
    <w:uiPriority w:val="62"/>
    <w:rsid w:val="00D464E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3">
    <w:name w:val="Light Grid Accent 3"/>
    <w:basedOn w:val="Tablanormal"/>
    <w:uiPriority w:val="62"/>
    <w:rsid w:val="00A2433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lista4-nfasis51">
    <w:name w:val="Tabla de lista 4 - Énfasis 51"/>
    <w:basedOn w:val="Tablanormal"/>
    <w:uiPriority w:val="49"/>
    <w:rsid w:val="00451C0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2-nfasis21">
    <w:name w:val="Tabla de lista 2 - Énfasis 21"/>
    <w:basedOn w:val="Tablanormal"/>
    <w:uiPriority w:val="47"/>
    <w:rsid w:val="00710E6C"/>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3-nfasis21">
    <w:name w:val="Tabla de lista 3 - Énfasis 21"/>
    <w:basedOn w:val="Tablanormal"/>
    <w:uiPriority w:val="48"/>
    <w:rsid w:val="00710E6C"/>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Cuadrculaclara-nfasis5">
    <w:name w:val="Light Grid Accent 5"/>
    <w:basedOn w:val="Tablanormal"/>
    <w:uiPriority w:val="62"/>
    <w:rsid w:val="004635FF"/>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1">
    <w:name w:val="Medium Shading 1 Accent 1"/>
    <w:basedOn w:val="Tablanormal"/>
    <w:uiPriority w:val="63"/>
    <w:rsid w:val="003D70F8"/>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Cuadrculamedia2-nfasis5">
    <w:name w:val="Medium Grid 2 Accent 5"/>
    <w:basedOn w:val="Tablanormal"/>
    <w:uiPriority w:val="68"/>
    <w:rsid w:val="009A7B65"/>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Listavistosa-nfasis1">
    <w:name w:val="Colorful List Accent 1"/>
    <w:basedOn w:val="Tablanormal"/>
    <w:uiPriority w:val="72"/>
    <w:rsid w:val="00AF5E88"/>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vistosa-nfasis4">
    <w:name w:val="Colorful List Accent 4"/>
    <w:basedOn w:val="Tablanormal"/>
    <w:uiPriority w:val="72"/>
    <w:rsid w:val="00AF5E88"/>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rsid w:val="00AF5E88"/>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vistosa-nfasis6">
    <w:name w:val="Colorful List Accent 6"/>
    <w:basedOn w:val="Tablanormal"/>
    <w:uiPriority w:val="72"/>
    <w:rsid w:val="009919AA"/>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customStyle="1" w:styleId="Ttulo4Car">
    <w:name w:val="Título 4 Car"/>
    <w:basedOn w:val="Fuentedeprrafopredeter"/>
    <w:link w:val="Ttulo4"/>
    <w:uiPriority w:val="9"/>
    <w:rsid w:val="00BE1C4F"/>
    <w:rPr>
      <w:rFonts w:asciiTheme="majorHAnsi" w:eastAsiaTheme="majorEastAsia" w:hAnsiTheme="majorHAnsi" w:cstheme="majorBidi"/>
      <w:b/>
      <w:bCs/>
      <w:i/>
      <w:iCs/>
      <w:color w:val="5B9BD5" w:themeColor="accent1"/>
    </w:rPr>
  </w:style>
  <w:style w:type="character" w:styleId="Textoennegrita">
    <w:name w:val="Strong"/>
    <w:qFormat/>
    <w:rsid w:val="00233F0F"/>
    <w:rPr>
      <w:b/>
      <w:bCs/>
    </w:rPr>
  </w:style>
  <w:style w:type="table" w:styleId="Listavistosa-nfasis2">
    <w:name w:val="Colorful List Accent 2"/>
    <w:basedOn w:val="Tablanormal"/>
    <w:uiPriority w:val="72"/>
    <w:rsid w:val="004F05DC"/>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character" w:customStyle="1" w:styleId="Ttulo3Car">
    <w:name w:val="Título 3 Car"/>
    <w:basedOn w:val="Fuentedeprrafopredeter"/>
    <w:link w:val="Ttulo3"/>
    <w:uiPriority w:val="9"/>
    <w:rsid w:val="00F67175"/>
    <w:rPr>
      <w:rFonts w:asciiTheme="majorHAnsi" w:eastAsiaTheme="majorEastAsia" w:hAnsiTheme="majorHAnsi" w:cstheme="majorBidi"/>
      <w:b/>
      <w:bCs/>
      <w:color w:val="5B9BD5" w:themeColor="accent1"/>
    </w:rPr>
  </w:style>
  <w:style w:type="paragraph" w:styleId="Ttulo">
    <w:name w:val="Title"/>
    <w:basedOn w:val="Normal"/>
    <w:next w:val="Normal"/>
    <w:link w:val="TtuloCar"/>
    <w:uiPriority w:val="10"/>
    <w:qFormat/>
    <w:rsid w:val="00F6717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F67175"/>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62E1"/>
  </w:style>
  <w:style w:type="paragraph" w:styleId="Ttulo1">
    <w:name w:val="heading 1"/>
    <w:basedOn w:val="Normal"/>
    <w:next w:val="Normal"/>
    <w:link w:val="Ttulo1Car"/>
    <w:uiPriority w:val="9"/>
    <w:qFormat/>
    <w:rsid w:val="00AB10A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9547F1"/>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unhideWhenUsed/>
    <w:qFormat/>
    <w:rsid w:val="00F67175"/>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ar"/>
    <w:uiPriority w:val="9"/>
    <w:unhideWhenUsed/>
    <w:qFormat/>
    <w:rsid w:val="00BE1C4F"/>
    <w:pPr>
      <w:keepNext/>
      <w:keepLines/>
      <w:spacing w:before="200"/>
      <w:outlineLvl w:val="3"/>
    </w:pPr>
    <w:rPr>
      <w:rFonts w:asciiTheme="majorHAnsi" w:eastAsiaTheme="majorEastAsia" w:hAnsiTheme="majorHAnsi" w:cstheme="majorBidi"/>
      <w:b/>
      <w:bCs/>
      <w:i/>
      <w:iCs/>
      <w:color w:val="5B9BD5"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805F6"/>
    <w:pPr>
      <w:tabs>
        <w:tab w:val="center" w:pos="4419"/>
        <w:tab w:val="right" w:pos="8838"/>
      </w:tabs>
    </w:pPr>
  </w:style>
  <w:style w:type="character" w:customStyle="1" w:styleId="EncabezadoCar">
    <w:name w:val="Encabezado Car"/>
    <w:basedOn w:val="Fuentedeprrafopredeter"/>
    <w:link w:val="Encabezado"/>
    <w:uiPriority w:val="99"/>
    <w:rsid w:val="006805F6"/>
  </w:style>
  <w:style w:type="paragraph" w:styleId="Piedepgina">
    <w:name w:val="footer"/>
    <w:basedOn w:val="Normal"/>
    <w:link w:val="PiedepginaCar"/>
    <w:uiPriority w:val="99"/>
    <w:unhideWhenUsed/>
    <w:rsid w:val="006805F6"/>
    <w:pPr>
      <w:tabs>
        <w:tab w:val="center" w:pos="4419"/>
        <w:tab w:val="right" w:pos="8838"/>
      </w:tabs>
    </w:pPr>
  </w:style>
  <w:style w:type="character" w:customStyle="1" w:styleId="PiedepginaCar">
    <w:name w:val="Pie de página Car"/>
    <w:basedOn w:val="Fuentedeprrafopredeter"/>
    <w:link w:val="Piedepgina"/>
    <w:uiPriority w:val="99"/>
    <w:rsid w:val="006805F6"/>
  </w:style>
  <w:style w:type="paragraph" w:styleId="Textodeglobo">
    <w:name w:val="Balloon Text"/>
    <w:basedOn w:val="Normal"/>
    <w:link w:val="TextodegloboCar"/>
    <w:uiPriority w:val="99"/>
    <w:semiHidden/>
    <w:unhideWhenUsed/>
    <w:rsid w:val="001858C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C2"/>
    <w:rPr>
      <w:rFonts w:ascii="Segoe UI" w:hAnsi="Segoe UI" w:cs="Segoe UI"/>
      <w:sz w:val="18"/>
      <w:szCs w:val="18"/>
    </w:rPr>
  </w:style>
  <w:style w:type="character" w:customStyle="1" w:styleId="Ttulo1Car">
    <w:name w:val="Título 1 Car"/>
    <w:basedOn w:val="Fuentedeprrafopredeter"/>
    <w:link w:val="Ttulo1"/>
    <w:uiPriority w:val="9"/>
    <w:rsid w:val="00AB10A9"/>
    <w:rPr>
      <w:rFonts w:asciiTheme="majorHAnsi" w:eastAsiaTheme="majorEastAsia" w:hAnsiTheme="majorHAnsi" w:cstheme="majorBidi"/>
      <w:b/>
      <w:bCs/>
      <w:color w:val="2E74B5" w:themeColor="accent1" w:themeShade="BF"/>
      <w:sz w:val="28"/>
      <w:szCs w:val="28"/>
    </w:rPr>
  </w:style>
  <w:style w:type="paragraph" w:styleId="Prrafodelista">
    <w:name w:val="List Paragraph"/>
    <w:basedOn w:val="Normal"/>
    <w:uiPriority w:val="34"/>
    <w:qFormat/>
    <w:rsid w:val="00CB237E"/>
    <w:pPr>
      <w:ind w:left="720"/>
      <w:contextualSpacing/>
    </w:pPr>
  </w:style>
  <w:style w:type="table" w:customStyle="1" w:styleId="Tabladelista6concolores-nfasis21">
    <w:name w:val="Tabla de lista 6 con colores - Énfasis 21"/>
    <w:basedOn w:val="Tablanormal"/>
    <w:uiPriority w:val="51"/>
    <w:rsid w:val="00693DD9"/>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7concolores-nfasis21">
    <w:name w:val="Tabla de lista 7 con colores - Énfasis 21"/>
    <w:basedOn w:val="Tablanormal"/>
    <w:uiPriority w:val="52"/>
    <w:rsid w:val="00693DD9"/>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adelista4-nfasis11">
    <w:name w:val="Tabla de lista 4 - Énfasis 11"/>
    <w:basedOn w:val="Tablanormal"/>
    <w:uiPriority w:val="49"/>
    <w:rsid w:val="00693DD9"/>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aclara-nfasis4">
    <w:name w:val="Light List Accent 4"/>
    <w:basedOn w:val="Tablanormal"/>
    <w:uiPriority w:val="61"/>
    <w:rsid w:val="00C77CF4"/>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styleId="NormalWeb">
    <w:name w:val="Normal (Web)"/>
    <w:basedOn w:val="Normal"/>
    <w:uiPriority w:val="99"/>
    <w:unhideWhenUsed/>
    <w:rsid w:val="00A13864"/>
    <w:pPr>
      <w:spacing w:before="100" w:beforeAutospacing="1" w:after="100" w:afterAutospacing="1"/>
    </w:pPr>
    <w:rPr>
      <w:rFonts w:ascii="Times New Roman" w:eastAsiaTheme="minorEastAsia" w:hAnsi="Times New Roman" w:cs="Times New Roman"/>
      <w:sz w:val="24"/>
      <w:szCs w:val="24"/>
      <w:lang w:eastAsia="es-CO"/>
    </w:rPr>
  </w:style>
  <w:style w:type="paragraph" w:styleId="Sinespaciado">
    <w:name w:val="No Spacing"/>
    <w:uiPriority w:val="1"/>
    <w:qFormat/>
    <w:rsid w:val="00B10097"/>
  </w:style>
  <w:style w:type="paragraph" w:styleId="Textocomentario">
    <w:name w:val="annotation text"/>
    <w:basedOn w:val="Normal"/>
    <w:link w:val="TextocomentarioCar"/>
    <w:rsid w:val="006B7DE8"/>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6B7DE8"/>
    <w:rPr>
      <w:rFonts w:ascii="Times New Roman" w:eastAsia="Times New Roman" w:hAnsi="Times New Roman" w:cs="Times New Roman"/>
      <w:sz w:val="20"/>
      <w:szCs w:val="20"/>
      <w:lang w:val="es-ES" w:eastAsia="es-ES"/>
    </w:rPr>
  </w:style>
  <w:style w:type="table" w:styleId="Sombreadoclaro-nfasis2">
    <w:name w:val="Light Shading Accent 2"/>
    <w:basedOn w:val="Tablanormal"/>
    <w:uiPriority w:val="60"/>
    <w:rsid w:val="0063029F"/>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Sombreadoclaro-nfasis1">
    <w:name w:val="Light Shading Accent 1"/>
    <w:basedOn w:val="Tablanormal"/>
    <w:uiPriority w:val="60"/>
    <w:rsid w:val="00504874"/>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staclara-nfasis2">
    <w:name w:val="Light List Accent 2"/>
    <w:basedOn w:val="Tablanormal"/>
    <w:uiPriority w:val="61"/>
    <w:rsid w:val="004E50C6"/>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character" w:customStyle="1" w:styleId="Ttulo2Car">
    <w:name w:val="Título 2 Car"/>
    <w:basedOn w:val="Fuentedeprrafopredeter"/>
    <w:link w:val="Ttulo2"/>
    <w:uiPriority w:val="9"/>
    <w:rsid w:val="009547F1"/>
    <w:rPr>
      <w:rFonts w:asciiTheme="majorHAnsi" w:eastAsiaTheme="majorEastAsia" w:hAnsiTheme="majorHAnsi" w:cstheme="majorBidi"/>
      <w:b/>
      <w:bCs/>
      <w:color w:val="5B9BD5" w:themeColor="accent1"/>
      <w:sz w:val="26"/>
      <w:szCs w:val="26"/>
    </w:rPr>
  </w:style>
  <w:style w:type="table" w:customStyle="1" w:styleId="Tabladelista5oscura-nfasis21">
    <w:name w:val="Tabla de lista 5 oscura - Énfasis 21"/>
    <w:basedOn w:val="Tablanormal"/>
    <w:uiPriority w:val="50"/>
    <w:rsid w:val="004348C0"/>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4-nfasis61">
    <w:name w:val="Tabla de lista 4 - Énfasis 61"/>
    <w:basedOn w:val="Tablanormal"/>
    <w:uiPriority w:val="49"/>
    <w:rsid w:val="004348C0"/>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
    <w:name w:val="Table Grid"/>
    <w:basedOn w:val="Tablanormal"/>
    <w:uiPriority w:val="39"/>
    <w:rsid w:val="00A47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21">
    <w:name w:val="Tabla de cuadrícula 4 - Énfasis 21"/>
    <w:basedOn w:val="Tablanormal"/>
    <w:uiPriority w:val="49"/>
    <w:rsid w:val="00BC4563"/>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5oscura-nfasis61">
    <w:name w:val="Tabla de lista 5 oscura - Énfasis 61"/>
    <w:basedOn w:val="Tablanormal"/>
    <w:uiPriority w:val="50"/>
    <w:rsid w:val="006D2CA5"/>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Tabladelista5oscura-nfasis41">
    <w:name w:val="Tabla de lista 5 oscura - Énfasis 41"/>
    <w:basedOn w:val="Tablanormal"/>
    <w:uiPriority w:val="50"/>
    <w:rsid w:val="00E71D52"/>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Sombreadomedio1-nfasis2">
    <w:name w:val="Medium Shading 1 Accent 2"/>
    <w:basedOn w:val="Tablanormal"/>
    <w:uiPriority w:val="63"/>
    <w:rsid w:val="005E53F2"/>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Listavistosa-nfasis3">
    <w:name w:val="Colorful List Accent 3"/>
    <w:basedOn w:val="Tablanormal"/>
    <w:uiPriority w:val="72"/>
    <w:rsid w:val="00C51492"/>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Sombreadomedio1-nfasis6">
    <w:name w:val="Medium Shading 1 Accent 6"/>
    <w:basedOn w:val="Tablanormal"/>
    <w:uiPriority w:val="63"/>
    <w:rsid w:val="00C51492"/>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Sombreadomedio1-nfasis5">
    <w:name w:val="Medium Shading 1 Accent 5"/>
    <w:basedOn w:val="Tablanormal"/>
    <w:uiPriority w:val="63"/>
    <w:rsid w:val="00F87F4B"/>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Sombreadoclaro-nfasis6">
    <w:name w:val="Light Shading Accent 6"/>
    <w:basedOn w:val="Tablanormal"/>
    <w:uiPriority w:val="60"/>
    <w:rsid w:val="00A07F0C"/>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Cuadrculaclara-nfasis1">
    <w:name w:val="Light Grid Accent 1"/>
    <w:basedOn w:val="Tablanormal"/>
    <w:uiPriority w:val="62"/>
    <w:rsid w:val="00424C52"/>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styleId="Epgrafe">
    <w:name w:val="caption"/>
    <w:basedOn w:val="Normal"/>
    <w:next w:val="Normal"/>
    <w:unhideWhenUsed/>
    <w:qFormat/>
    <w:rsid w:val="001119AA"/>
    <w:pPr>
      <w:spacing w:after="200" w:line="360" w:lineRule="auto"/>
    </w:pPr>
    <w:rPr>
      <w:rFonts w:ascii="Times New Roman" w:eastAsia="Times" w:hAnsi="Times New Roman" w:cs="Times New Roman"/>
      <w:b/>
      <w:bCs/>
      <w:color w:val="4F81BD"/>
      <w:sz w:val="18"/>
      <w:szCs w:val="18"/>
      <w:lang w:val="en-US" w:eastAsia="es-ES"/>
    </w:rPr>
  </w:style>
  <w:style w:type="character" w:styleId="Refdecomentario">
    <w:name w:val="annotation reference"/>
    <w:basedOn w:val="Fuentedeprrafopredeter"/>
    <w:uiPriority w:val="99"/>
    <w:semiHidden/>
    <w:unhideWhenUsed/>
    <w:rsid w:val="00456438"/>
    <w:rPr>
      <w:sz w:val="16"/>
      <w:szCs w:val="16"/>
    </w:rPr>
  </w:style>
  <w:style w:type="paragraph" w:styleId="Asuntodelcomentario">
    <w:name w:val="annotation subject"/>
    <w:basedOn w:val="Textocomentario"/>
    <w:next w:val="Textocomentario"/>
    <w:link w:val="AsuntodelcomentarioCar"/>
    <w:uiPriority w:val="99"/>
    <w:semiHidden/>
    <w:unhideWhenUsed/>
    <w:rsid w:val="00456438"/>
    <w:rPr>
      <w:rFonts w:asciiTheme="minorHAnsi" w:eastAsiaTheme="minorHAnsi" w:hAnsiTheme="minorHAnsi" w:cstheme="minorBidi"/>
      <w:b/>
      <w:bCs/>
      <w:lang w:val="es-CO" w:eastAsia="en-US"/>
    </w:rPr>
  </w:style>
  <w:style w:type="character" w:customStyle="1" w:styleId="AsuntodelcomentarioCar">
    <w:name w:val="Asunto del comentario Car"/>
    <w:basedOn w:val="TextocomentarioCar"/>
    <w:link w:val="Asuntodelcomentario"/>
    <w:uiPriority w:val="99"/>
    <w:semiHidden/>
    <w:rsid w:val="00456438"/>
    <w:rPr>
      <w:rFonts w:ascii="Times New Roman" w:eastAsia="Times New Roman" w:hAnsi="Times New Roman" w:cs="Times New Roman"/>
      <w:b/>
      <w:bCs/>
      <w:sz w:val="20"/>
      <w:szCs w:val="20"/>
      <w:lang w:val="es-ES" w:eastAsia="es-ES"/>
    </w:rPr>
  </w:style>
  <w:style w:type="paragraph" w:customStyle="1" w:styleId="Default">
    <w:name w:val="Default"/>
    <w:rsid w:val="00576567"/>
    <w:pPr>
      <w:autoSpaceDE w:val="0"/>
      <w:autoSpaceDN w:val="0"/>
      <w:adjustRightInd w:val="0"/>
    </w:pPr>
    <w:rPr>
      <w:rFonts w:ascii="Arial" w:hAnsi="Arial" w:cs="Arial"/>
      <w:color w:val="000000"/>
      <w:sz w:val="24"/>
      <w:szCs w:val="24"/>
    </w:rPr>
  </w:style>
  <w:style w:type="table" w:styleId="Listaclara-nfasis1">
    <w:name w:val="Light List Accent 1"/>
    <w:basedOn w:val="Tablanormal"/>
    <w:uiPriority w:val="61"/>
    <w:rsid w:val="006A44A4"/>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Cuadrculaclara-nfasis6">
    <w:name w:val="Light Grid Accent 6"/>
    <w:basedOn w:val="Tablanormal"/>
    <w:uiPriority w:val="62"/>
    <w:rsid w:val="007C4259"/>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Cuadrculaclara-nfasis2">
    <w:name w:val="Light Grid Accent 2"/>
    <w:basedOn w:val="Tablanormal"/>
    <w:uiPriority w:val="62"/>
    <w:rsid w:val="007C4259"/>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Cuadrculaclara-nfasis4">
    <w:name w:val="Light Grid Accent 4"/>
    <w:basedOn w:val="Tablanormal"/>
    <w:uiPriority w:val="62"/>
    <w:rsid w:val="00D464EA"/>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Cuadrculaclara-nfasis3">
    <w:name w:val="Light Grid Accent 3"/>
    <w:basedOn w:val="Tablanormal"/>
    <w:uiPriority w:val="62"/>
    <w:rsid w:val="00A2433A"/>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customStyle="1" w:styleId="Tabladelista4-nfasis51">
    <w:name w:val="Tabla de lista 4 - Énfasis 51"/>
    <w:basedOn w:val="Tablanormal"/>
    <w:uiPriority w:val="49"/>
    <w:rsid w:val="00451C03"/>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Tabladelista2-nfasis21">
    <w:name w:val="Tabla de lista 2 - Énfasis 21"/>
    <w:basedOn w:val="Tablanormal"/>
    <w:uiPriority w:val="47"/>
    <w:rsid w:val="00710E6C"/>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adelista3-nfasis21">
    <w:name w:val="Tabla de lista 3 - Énfasis 21"/>
    <w:basedOn w:val="Tablanormal"/>
    <w:uiPriority w:val="48"/>
    <w:rsid w:val="00710E6C"/>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Cuadrculaclara-nfasis5">
    <w:name w:val="Light Grid Accent 5"/>
    <w:basedOn w:val="Tablanormal"/>
    <w:uiPriority w:val="62"/>
    <w:rsid w:val="004635FF"/>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Sombreadomedio1-nfasis1">
    <w:name w:val="Medium Shading 1 Accent 1"/>
    <w:basedOn w:val="Tablanormal"/>
    <w:uiPriority w:val="63"/>
    <w:rsid w:val="003D70F8"/>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Cuadrculamedia2-nfasis5">
    <w:name w:val="Medium Grid 2 Accent 5"/>
    <w:basedOn w:val="Tablanormal"/>
    <w:uiPriority w:val="68"/>
    <w:rsid w:val="009A7B65"/>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Listavistosa-nfasis1">
    <w:name w:val="Colorful List Accent 1"/>
    <w:basedOn w:val="Tablanormal"/>
    <w:uiPriority w:val="72"/>
    <w:rsid w:val="00AF5E88"/>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Listavistosa-nfasis4">
    <w:name w:val="Colorful List Accent 4"/>
    <w:basedOn w:val="Tablanormal"/>
    <w:uiPriority w:val="72"/>
    <w:rsid w:val="00AF5E88"/>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Listavistosa-nfasis5">
    <w:name w:val="Colorful List Accent 5"/>
    <w:basedOn w:val="Tablanormal"/>
    <w:uiPriority w:val="72"/>
    <w:rsid w:val="00AF5E88"/>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Listavistosa-nfasis6">
    <w:name w:val="Colorful List Accent 6"/>
    <w:basedOn w:val="Tablanormal"/>
    <w:uiPriority w:val="72"/>
    <w:rsid w:val="009919AA"/>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character" w:customStyle="1" w:styleId="Ttulo4Car">
    <w:name w:val="Título 4 Car"/>
    <w:basedOn w:val="Fuentedeprrafopredeter"/>
    <w:link w:val="Ttulo4"/>
    <w:uiPriority w:val="9"/>
    <w:rsid w:val="00BE1C4F"/>
    <w:rPr>
      <w:rFonts w:asciiTheme="majorHAnsi" w:eastAsiaTheme="majorEastAsia" w:hAnsiTheme="majorHAnsi" w:cstheme="majorBidi"/>
      <w:b/>
      <w:bCs/>
      <w:i/>
      <w:iCs/>
      <w:color w:val="5B9BD5" w:themeColor="accent1"/>
    </w:rPr>
  </w:style>
  <w:style w:type="character" w:styleId="Textoennegrita">
    <w:name w:val="Strong"/>
    <w:qFormat/>
    <w:rsid w:val="00233F0F"/>
    <w:rPr>
      <w:b/>
      <w:bCs/>
    </w:rPr>
  </w:style>
  <w:style w:type="table" w:styleId="Listavistosa-nfasis2">
    <w:name w:val="Colorful List Accent 2"/>
    <w:basedOn w:val="Tablanormal"/>
    <w:uiPriority w:val="72"/>
    <w:rsid w:val="004F05DC"/>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character" w:customStyle="1" w:styleId="Ttulo3Car">
    <w:name w:val="Título 3 Car"/>
    <w:basedOn w:val="Fuentedeprrafopredeter"/>
    <w:link w:val="Ttulo3"/>
    <w:uiPriority w:val="9"/>
    <w:rsid w:val="00F67175"/>
    <w:rPr>
      <w:rFonts w:asciiTheme="majorHAnsi" w:eastAsiaTheme="majorEastAsia" w:hAnsiTheme="majorHAnsi" w:cstheme="majorBidi"/>
      <w:b/>
      <w:bCs/>
      <w:color w:val="5B9BD5" w:themeColor="accent1"/>
    </w:rPr>
  </w:style>
  <w:style w:type="paragraph" w:styleId="Ttulo">
    <w:name w:val="Title"/>
    <w:basedOn w:val="Normal"/>
    <w:next w:val="Normal"/>
    <w:link w:val="TtuloCar"/>
    <w:uiPriority w:val="10"/>
    <w:qFormat/>
    <w:rsid w:val="00F67175"/>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tuloCar">
    <w:name w:val="Título Car"/>
    <w:basedOn w:val="Fuentedeprrafopredeter"/>
    <w:link w:val="Ttulo"/>
    <w:uiPriority w:val="10"/>
    <w:rsid w:val="00F67175"/>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5748">
      <w:bodyDiv w:val="1"/>
      <w:marLeft w:val="0"/>
      <w:marRight w:val="0"/>
      <w:marTop w:val="0"/>
      <w:marBottom w:val="0"/>
      <w:divBdr>
        <w:top w:val="none" w:sz="0" w:space="0" w:color="auto"/>
        <w:left w:val="none" w:sz="0" w:space="0" w:color="auto"/>
        <w:bottom w:val="none" w:sz="0" w:space="0" w:color="auto"/>
        <w:right w:val="none" w:sz="0" w:space="0" w:color="auto"/>
      </w:divBdr>
    </w:div>
    <w:div w:id="22949328">
      <w:bodyDiv w:val="1"/>
      <w:marLeft w:val="0"/>
      <w:marRight w:val="0"/>
      <w:marTop w:val="0"/>
      <w:marBottom w:val="0"/>
      <w:divBdr>
        <w:top w:val="none" w:sz="0" w:space="0" w:color="auto"/>
        <w:left w:val="none" w:sz="0" w:space="0" w:color="auto"/>
        <w:bottom w:val="none" w:sz="0" w:space="0" w:color="auto"/>
        <w:right w:val="none" w:sz="0" w:space="0" w:color="auto"/>
      </w:divBdr>
    </w:div>
    <w:div w:id="148404231">
      <w:bodyDiv w:val="1"/>
      <w:marLeft w:val="0"/>
      <w:marRight w:val="0"/>
      <w:marTop w:val="0"/>
      <w:marBottom w:val="0"/>
      <w:divBdr>
        <w:top w:val="none" w:sz="0" w:space="0" w:color="auto"/>
        <w:left w:val="none" w:sz="0" w:space="0" w:color="auto"/>
        <w:bottom w:val="none" w:sz="0" w:space="0" w:color="auto"/>
        <w:right w:val="none" w:sz="0" w:space="0" w:color="auto"/>
      </w:divBdr>
    </w:div>
    <w:div w:id="425736801">
      <w:bodyDiv w:val="1"/>
      <w:marLeft w:val="0"/>
      <w:marRight w:val="0"/>
      <w:marTop w:val="0"/>
      <w:marBottom w:val="0"/>
      <w:divBdr>
        <w:top w:val="none" w:sz="0" w:space="0" w:color="auto"/>
        <w:left w:val="none" w:sz="0" w:space="0" w:color="auto"/>
        <w:bottom w:val="none" w:sz="0" w:space="0" w:color="auto"/>
        <w:right w:val="none" w:sz="0" w:space="0" w:color="auto"/>
      </w:divBdr>
    </w:div>
    <w:div w:id="426392071">
      <w:bodyDiv w:val="1"/>
      <w:marLeft w:val="0"/>
      <w:marRight w:val="0"/>
      <w:marTop w:val="0"/>
      <w:marBottom w:val="0"/>
      <w:divBdr>
        <w:top w:val="none" w:sz="0" w:space="0" w:color="auto"/>
        <w:left w:val="none" w:sz="0" w:space="0" w:color="auto"/>
        <w:bottom w:val="none" w:sz="0" w:space="0" w:color="auto"/>
        <w:right w:val="none" w:sz="0" w:space="0" w:color="auto"/>
      </w:divBdr>
    </w:div>
    <w:div w:id="442726314">
      <w:bodyDiv w:val="1"/>
      <w:marLeft w:val="0"/>
      <w:marRight w:val="0"/>
      <w:marTop w:val="0"/>
      <w:marBottom w:val="0"/>
      <w:divBdr>
        <w:top w:val="none" w:sz="0" w:space="0" w:color="auto"/>
        <w:left w:val="none" w:sz="0" w:space="0" w:color="auto"/>
        <w:bottom w:val="none" w:sz="0" w:space="0" w:color="auto"/>
        <w:right w:val="none" w:sz="0" w:space="0" w:color="auto"/>
      </w:divBdr>
    </w:div>
    <w:div w:id="529339644">
      <w:bodyDiv w:val="1"/>
      <w:marLeft w:val="0"/>
      <w:marRight w:val="0"/>
      <w:marTop w:val="0"/>
      <w:marBottom w:val="0"/>
      <w:divBdr>
        <w:top w:val="none" w:sz="0" w:space="0" w:color="auto"/>
        <w:left w:val="none" w:sz="0" w:space="0" w:color="auto"/>
        <w:bottom w:val="none" w:sz="0" w:space="0" w:color="auto"/>
        <w:right w:val="none" w:sz="0" w:space="0" w:color="auto"/>
      </w:divBdr>
    </w:div>
    <w:div w:id="729157410">
      <w:bodyDiv w:val="1"/>
      <w:marLeft w:val="0"/>
      <w:marRight w:val="0"/>
      <w:marTop w:val="0"/>
      <w:marBottom w:val="0"/>
      <w:divBdr>
        <w:top w:val="none" w:sz="0" w:space="0" w:color="auto"/>
        <w:left w:val="none" w:sz="0" w:space="0" w:color="auto"/>
        <w:bottom w:val="none" w:sz="0" w:space="0" w:color="auto"/>
        <w:right w:val="none" w:sz="0" w:space="0" w:color="auto"/>
      </w:divBdr>
    </w:div>
    <w:div w:id="741870148">
      <w:bodyDiv w:val="1"/>
      <w:marLeft w:val="0"/>
      <w:marRight w:val="0"/>
      <w:marTop w:val="0"/>
      <w:marBottom w:val="0"/>
      <w:divBdr>
        <w:top w:val="none" w:sz="0" w:space="0" w:color="auto"/>
        <w:left w:val="none" w:sz="0" w:space="0" w:color="auto"/>
        <w:bottom w:val="none" w:sz="0" w:space="0" w:color="auto"/>
        <w:right w:val="none" w:sz="0" w:space="0" w:color="auto"/>
      </w:divBdr>
    </w:div>
    <w:div w:id="863522845">
      <w:bodyDiv w:val="1"/>
      <w:marLeft w:val="0"/>
      <w:marRight w:val="0"/>
      <w:marTop w:val="0"/>
      <w:marBottom w:val="0"/>
      <w:divBdr>
        <w:top w:val="none" w:sz="0" w:space="0" w:color="auto"/>
        <w:left w:val="none" w:sz="0" w:space="0" w:color="auto"/>
        <w:bottom w:val="none" w:sz="0" w:space="0" w:color="auto"/>
        <w:right w:val="none" w:sz="0" w:space="0" w:color="auto"/>
      </w:divBdr>
    </w:div>
    <w:div w:id="1049300855">
      <w:bodyDiv w:val="1"/>
      <w:marLeft w:val="0"/>
      <w:marRight w:val="0"/>
      <w:marTop w:val="0"/>
      <w:marBottom w:val="0"/>
      <w:divBdr>
        <w:top w:val="none" w:sz="0" w:space="0" w:color="auto"/>
        <w:left w:val="none" w:sz="0" w:space="0" w:color="auto"/>
        <w:bottom w:val="none" w:sz="0" w:space="0" w:color="auto"/>
        <w:right w:val="none" w:sz="0" w:space="0" w:color="auto"/>
      </w:divBdr>
    </w:div>
    <w:div w:id="1088649118">
      <w:bodyDiv w:val="1"/>
      <w:marLeft w:val="0"/>
      <w:marRight w:val="0"/>
      <w:marTop w:val="0"/>
      <w:marBottom w:val="0"/>
      <w:divBdr>
        <w:top w:val="none" w:sz="0" w:space="0" w:color="auto"/>
        <w:left w:val="none" w:sz="0" w:space="0" w:color="auto"/>
        <w:bottom w:val="none" w:sz="0" w:space="0" w:color="auto"/>
        <w:right w:val="none" w:sz="0" w:space="0" w:color="auto"/>
      </w:divBdr>
    </w:div>
    <w:div w:id="1293287983">
      <w:bodyDiv w:val="1"/>
      <w:marLeft w:val="0"/>
      <w:marRight w:val="0"/>
      <w:marTop w:val="0"/>
      <w:marBottom w:val="0"/>
      <w:divBdr>
        <w:top w:val="none" w:sz="0" w:space="0" w:color="auto"/>
        <w:left w:val="none" w:sz="0" w:space="0" w:color="auto"/>
        <w:bottom w:val="none" w:sz="0" w:space="0" w:color="auto"/>
        <w:right w:val="none" w:sz="0" w:space="0" w:color="auto"/>
      </w:divBdr>
    </w:div>
    <w:div w:id="1485008166">
      <w:bodyDiv w:val="1"/>
      <w:marLeft w:val="0"/>
      <w:marRight w:val="0"/>
      <w:marTop w:val="0"/>
      <w:marBottom w:val="0"/>
      <w:divBdr>
        <w:top w:val="none" w:sz="0" w:space="0" w:color="auto"/>
        <w:left w:val="none" w:sz="0" w:space="0" w:color="auto"/>
        <w:bottom w:val="none" w:sz="0" w:space="0" w:color="auto"/>
        <w:right w:val="none" w:sz="0" w:space="0" w:color="auto"/>
      </w:divBdr>
    </w:div>
    <w:div w:id="1515263253">
      <w:bodyDiv w:val="1"/>
      <w:marLeft w:val="0"/>
      <w:marRight w:val="0"/>
      <w:marTop w:val="0"/>
      <w:marBottom w:val="0"/>
      <w:divBdr>
        <w:top w:val="none" w:sz="0" w:space="0" w:color="auto"/>
        <w:left w:val="none" w:sz="0" w:space="0" w:color="auto"/>
        <w:bottom w:val="none" w:sz="0" w:space="0" w:color="auto"/>
        <w:right w:val="none" w:sz="0" w:space="0" w:color="auto"/>
      </w:divBdr>
    </w:div>
    <w:div w:id="1659113411">
      <w:bodyDiv w:val="1"/>
      <w:marLeft w:val="0"/>
      <w:marRight w:val="0"/>
      <w:marTop w:val="0"/>
      <w:marBottom w:val="0"/>
      <w:divBdr>
        <w:top w:val="none" w:sz="0" w:space="0" w:color="auto"/>
        <w:left w:val="none" w:sz="0" w:space="0" w:color="auto"/>
        <w:bottom w:val="none" w:sz="0" w:space="0" w:color="auto"/>
        <w:right w:val="none" w:sz="0" w:space="0" w:color="auto"/>
      </w:divBdr>
    </w:div>
    <w:div w:id="1754279925">
      <w:bodyDiv w:val="1"/>
      <w:marLeft w:val="0"/>
      <w:marRight w:val="0"/>
      <w:marTop w:val="0"/>
      <w:marBottom w:val="0"/>
      <w:divBdr>
        <w:top w:val="none" w:sz="0" w:space="0" w:color="auto"/>
        <w:left w:val="none" w:sz="0" w:space="0" w:color="auto"/>
        <w:bottom w:val="none" w:sz="0" w:space="0" w:color="auto"/>
        <w:right w:val="none" w:sz="0" w:space="0" w:color="auto"/>
      </w:divBdr>
    </w:div>
    <w:div w:id="1759864615">
      <w:bodyDiv w:val="1"/>
      <w:marLeft w:val="0"/>
      <w:marRight w:val="0"/>
      <w:marTop w:val="0"/>
      <w:marBottom w:val="0"/>
      <w:divBdr>
        <w:top w:val="none" w:sz="0" w:space="0" w:color="auto"/>
        <w:left w:val="none" w:sz="0" w:space="0" w:color="auto"/>
        <w:bottom w:val="none" w:sz="0" w:space="0" w:color="auto"/>
        <w:right w:val="none" w:sz="0" w:space="0" w:color="auto"/>
      </w:divBdr>
    </w:div>
    <w:div w:id="1810197684">
      <w:bodyDiv w:val="1"/>
      <w:marLeft w:val="0"/>
      <w:marRight w:val="0"/>
      <w:marTop w:val="0"/>
      <w:marBottom w:val="0"/>
      <w:divBdr>
        <w:top w:val="none" w:sz="0" w:space="0" w:color="auto"/>
        <w:left w:val="none" w:sz="0" w:space="0" w:color="auto"/>
        <w:bottom w:val="none" w:sz="0" w:space="0" w:color="auto"/>
        <w:right w:val="none" w:sz="0" w:space="0" w:color="auto"/>
      </w:divBdr>
    </w:div>
    <w:div w:id="1824735083">
      <w:bodyDiv w:val="1"/>
      <w:marLeft w:val="0"/>
      <w:marRight w:val="0"/>
      <w:marTop w:val="0"/>
      <w:marBottom w:val="0"/>
      <w:divBdr>
        <w:top w:val="none" w:sz="0" w:space="0" w:color="auto"/>
        <w:left w:val="none" w:sz="0" w:space="0" w:color="auto"/>
        <w:bottom w:val="none" w:sz="0" w:space="0" w:color="auto"/>
        <w:right w:val="none" w:sz="0" w:space="0" w:color="auto"/>
      </w:divBdr>
    </w:div>
    <w:div w:id="1888103295">
      <w:bodyDiv w:val="1"/>
      <w:marLeft w:val="0"/>
      <w:marRight w:val="0"/>
      <w:marTop w:val="0"/>
      <w:marBottom w:val="0"/>
      <w:divBdr>
        <w:top w:val="none" w:sz="0" w:space="0" w:color="auto"/>
        <w:left w:val="none" w:sz="0" w:space="0" w:color="auto"/>
        <w:bottom w:val="none" w:sz="0" w:space="0" w:color="auto"/>
        <w:right w:val="none" w:sz="0" w:space="0" w:color="auto"/>
      </w:divBdr>
    </w:div>
    <w:div w:id="1954633507">
      <w:bodyDiv w:val="1"/>
      <w:marLeft w:val="0"/>
      <w:marRight w:val="0"/>
      <w:marTop w:val="0"/>
      <w:marBottom w:val="0"/>
      <w:divBdr>
        <w:top w:val="none" w:sz="0" w:space="0" w:color="auto"/>
        <w:left w:val="none" w:sz="0" w:space="0" w:color="auto"/>
        <w:bottom w:val="none" w:sz="0" w:space="0" w:color="auto"/>
        <w:right w:val="none" w:sz="0" w:space="0" w:color="auto"/>
      </w:divBdr>
    </w:div>
    <w:div w:id="1957177583">
      <w:bodyDiv w:val="1"/>
      <w:marLeft w:val="0"/>
      <w:marRight w:val="0"/>
      <w:marTop w:val="0"/>
      <w:marBottom w:val="0"/>
      <w:divBdr>
        <w:top w:val="none" w:sz="0" w:space="0" w:color="auto"/>
        <w:left w:val="none" w:sz="0" w:space="0" w:color="auto"/>
        <w:bottom w:val="none" w:sz="0" w:space="0" w:color="auto"/>
        <w:right w:val="none" w:sz="0" w:space="0" w:color="auto"/>
      </w:divBdr>
    </w:div>
    <w:div w:id="1984771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8670A-DEA4-4D91-834B-F7724BAD94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3481</Words>
  <Characters>19147</Characters>
  <Application>Microsoft Office Word</Application>
  <DocSecurity>0</DocSecurity>
  <Lines>159</Lines>
  <Paragraphs>45</Paragraphs>
  <ScaleCrop>false</ScaleCrop>
  <HeadingPairs>
    <vt:vector size="2" baseType="variant">
      <vt:variant>
        <vt:lpstr>Título</vt:lpstr>
      </vt:variant>
      <vt:variant>
        <vt:i4>1</vt:i4>
      </vt:variant>
    </vt:vector>
  </HeadingPairs>
  <TitlesOfParts>
    <vt:vector size="1" baseType="lpstr">
      <vt:lpstr>Informe de Austeridad Primer Trimestre 2019</vt:lpstr>
    </vt:vector>
  </TitlesOfParts>
  <Company/>
  <LinksUpToDate>false</LinksUpToDate>
  <CharactersWithSpaces>22583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Seguimiento Gestión Financiera 2019</dc:title>
  <dc:creator>Departamento Administrativo de la Función Pública</dc:creator>
  <cp:keywords>Informe, seguimiento, grupo, financiera</cp:keywords>
  <dc:description>La OCI presenta el Informe de Seguimiento al Proceso de Gestión Financiera 2019, en el cual se puede evidenciar el compromiso y las políticas de operación y seguridad del SIIF.</dc:description>
  <cp:lastModifiedBy>Carmenza Alarcon Mendoza</cp:lastModifiedBy>
  <cp:revision>3</cp:revision>
  <cp:lastPrinted>2019-02-06T15:13:00Z</cp:lastPrinted>
  <dcterms:created xsi:type="dcterms:W3CDTF">2019-12-06T16:43:00Z</dcterms:created>
  <dcterms:modified xsi:type="dcterms:W3CDTF">2019-12-06T16:54:00Z</dcterms:modified>
</cp:coreProperties>
</file>