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1199" w:type="dxa"/>
        <w:tblInd w:w="-572" w:type="dxa"/>
        <w:tblLook w:val="04A0" w:firstRow="1" w:lastRow="0" w:firstColumn="1" w:lastColumn="0" w:noHBand="0" w:noVBand="1"/>
      </w:tblPr>
      <w:tblGrid>
        <w:gridCol w:w="3686"/>
        <w:gridCol w:w="7513"/>
      </w:tblGrid>
      <w:tr w:rsidR="007C7DB4" w:rsidRPr="007C7DB4" w14:paraId="703775B9" w14:textId="77777777" w:rsidTr="221773A6">
        <w:trPr>
          <w:trHeight w:val="981"/>
        </w:trPr>
        <w:tc>
          <w:tcPr>
            <w:tcW w:w="3686" w:type="dxa"/>
          </w:tcPr>
          <w:p w14:paraId="44620C89" w14:textId="31E6D110" w:rsidR="007C7DB4" w:rsidRPr="007C7DB4" w:rsidRDefault="00303394" w:rsidP="221773A6">
            <w:pPr>
              <w:rPr>
                <w:rFonts w:ascii="Helvetica" w:hAnsi="Helvetica" w:cs="Helvetica"/>
                <w:highlight w:val="yellow"/>
              </w:rPr>
            </w:pPr>
            <w:r w:rsidRPr="007C7DB4">
              <w:rPr>
                <w:rFonts w:ascii="Helvetica" w:hAnsi="Helvetica" w:cs="Helvetica"/>
                <w:noProof/>
                <w:lang w:eastAsia="es-CO"/>
              </w:rPr>
              <w:drawing>
                <wp:anchor distT="0" distB="0" distL="114300" distR="114300" simplePos="0" relativeHeight="251660288" behindDoc="1" locked="0" layoutInCell="1" allowOverlap="1" wp14:anchorId="227D3E59" wp14:editId="0A58B781">
                  <wp:simplePos x="0" y="0"/>
                  <wp:positionH relativeFrom="column">
                    <wp:posOffset>295275</wp:posOffset>
                  </wp:positionH>
                  <wp:positionV relativeFrom="paragraph">
                    <wp:posOffset>137795</wp:posOffset>
                  </wp:positionV>
                  <wp:extent cx="1495035" cy="356533"/>
                  <wp:effectExtent l="0" t="0" r="0" b="571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5-16_Plantilla_alistamiento2.jpg"/>
                          <pic:cNvPicPr/>
                        </pic:nvPicPr>
                        <pic:blipFill rotWithShape="1">
                          <a:blip r:embed="rId11" cstate="print">
                            <a:extLst>
                              <a:ext uri="{28A0092B-C50C-407E-A947-70E740481C1C}">
                                <a14:useLocalDpi xmlns:a14="http://schemas.microsoft.com/office/drawing/2010/main" val="0"/>
                              </a:ext>
                            </a:extLst>
                          </a:blip>
                          <a:srcRect t="24431" b="27798"/>
                          <a:stretch/>
                        </pic:blipFill>
                        <pic:spPr bwMode="auto">
                          <a:xfrm>
                            <a:off x="0" y="0"/>
                            <a:ext cx="1495035" cy="3565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513" w:type="dxa"/>
            <w:vAlign w:val="center"/>
          </w:tcPr>
          <w:p w14:paraId="0087AE54" w14:textId="77777777" w:rsidR="007C7DB4" w:rsidRPr="007C7DB4" w:rsidRDefault="007C7DB4" w:rsidP="007C7DB4">
            <w:pPr>
              <w:jc w:val="center"/>
              <w:rPr>
                <w:rFonts w:ascii="Helvetica" w:hAnsi="Helvetica" w:cs="Helvetica"/>
                <w:b/>
              </w:rPr>
            </w:pPr>
            <w:r w:rsidRPr="007C7DB4">
              <w:rPr>
                <w:rFonts w:ascii="Helvetica" w:hAnsi="Helvetica" w:cs="Helvetica"/>
                <w:b/>
              </w:rPr>
              <w:t>FORMATO MEMORIA JUSTIFICATIVA</w:t>
            </w:r>
            <w:r w:rsidR="00282A0D">
              <w:rPr>
                <w:rFonts w:ascii="Helvetica" w:hAnsi="Helvetica" w:cs="Helvetica"/>
                <w:b/>
              </w:rPr>
              <w:t xml:space="preserve"> </w:t>
            </w:r>
            <w:r w:rsidR="00303394">
              <w:rPr>
                <w:rFonts w:ascii="Helvetica" w:hAnsi="Helvetica" w:cs="Helvetica"/>
                <w:b/>
              </w:rPr>
              <w:t>– EXPEDICIÓN NORMATIVA</w:t>
            </w:r>
          </w:p>
        </w:tc>
      </w:tr>
    </w:tbl>
    <w:p w14:paraId="1AAC36AB" w14:textId="77777777" w:rsidR="00015863" w:rsidRDefault="00015863"/>
    <w:tbl>
      <w:tblPr>
        <w:tblStyle w:val="Tablaconcuadrcula"/>
        <w:tblW w:w="11199" w:type="dxa"/>
        <w:tblInd w:w="-572" w:type="dxa"/>
        <w:tblLook w:val="04A0" w:firstRow="1" w:lastRow="0" w:firstColumn="1" w:lastColumn="0" w:noHBand="0" w:noVBand="1"/>
      </w:tblPr>
      <w:tblGrid>
        <w:gridCol w:w="3686"/>
        <w:gridCol w:w="3402"/>
        <w:gridCol w:w="4111"/>
      </w:tblGrid>
      <w:tr w:rsidR="007C7DB4" w:rsidRPr="007C7DB4" w14:paraId="1971DA91" w14:textId="77777777" w:rsidTr="221773A6">
        <w:trPr>
          <w:trHeight w:val="391"/>
        </w:trPr>
        <w:tc>
          <w:tcPr>
            <w:tcW w:w="3686" w:type="dxa"/>
            <w:shd w:val="clear" w:color="auto" w:fill="FFF2CC" w:themeFill="accent4" w:themeFillTint="33"/>
            <w:vAlign w:val="center"/>
          </w:tcPr>
          <w:p w14:paraId="5BB9F1E5" w14:textId="77777777" w:rsidR="007C7DB4" w:rsidRPr="0000695D" w:rsidRDefault="007C7DB4" w:rsidP="00303394">
            <w:pPr>
              <w:rPr>
                <w:rFonts w:ascii="Helvetica" w:hAnsi="Helvetica" w:cs="Helvetica"/>
                <w:color w:val="404040" w:themeColor="text1" w:themeTint="BF"/>
              </w:rPr>
            </w:pPr>
            <w:r w:rsidRPr="0000695D">
              <w:rPr>
                <w:rFonts w:ascii="Helvetica" w:hAnsi="Helvetica" w:cs="Helvetica"/>
                <w:color w:val="404040" w:themeColor="text1" w:themeTint="BF"/>
              </w:rPr>
              <w:t>Entidad originadora:</w:t>
            </w:r>
          </w:p>
        </w:tc>
        <w:tc>
          <w:tcPr>
            <w:tcW w:w="7513" w:type="dxa"/>
            <w:gridSpan w:val="2"/>
          </w:tcPr>
          <w:p w14:paraId="0781CBBE" w14:textId="77777777" w:rsidR="007C7DB4" w:rsidRPr="007C7DB4" w:rsidRDefault="007C7DB4">
            <w:pPr>
              <w:rPr>
                <w:rFonts w:ascii="Helvetica" w:hAnsi="Helvetica" w:cs="Helvetica"/>
              </w:rPr>
            </w:pPr>
            <w:r>
              <w:rPr>
                <w:rFonts w:ascii="Helvetica" w:hAnsi="Helvetica" w:cs="Helvetica"/>
              </w:rPr>
              <w:t>Departamento Administrativo de la Función Pública</w:t>
            </w:r>
          </w:p>
        </w:tc>
      </w:tr>
      <w:tr w:rsidR="007C7DB4" w:rsidRPr="007C7DB4" w14:paraId="06840747" w14:textId="77777777" w:rsidTr="221773A6">
        <w:trPr>
          <w:trHeight w:val="410"/>
        </w:trPr>
        <w:tc>
          <w:tcPr>
            <w:tcW w:w="3686" w:type="dxa"/>
            <w:shd w:val="clear" w:color="auto" w:fill="FFF2CC" w:themeFill="accent4" w:themeFillTint="33"/>
            <w:vAlign w:val="center"/>
          </w:tcPr>
          <w:p w14:paraId="3FDABC66" w14:textId="77777777" w:rsidR="007C7DB4" w:rsidRPr="0000695D" w:rsidRDefault="007C7DB4" w:rsidP="00303394">
            <w:pPr>
              <w:rPr>
                <w:rFonts w:ascii="Helvetica" w:hAnsi="Helvetica" w:cs="Helvetica"/>
                <w:color w:val="404040" w:themeColor="text1" w:themeTint="BF"/>
              </w:rPr>
            </w:pPr>
            <w:r w:rsidRPr="0000695D">
              <w:rPr>
                <w:rFonts w:ascii="Helvetica" w:hAnsi="Helvetica" w:cs="Helvetica"/>
                <w:color w:val="404040" w:themeColor="text1" w:themeTint="BF"/>
              </w:rPr>
              <w:t>Fecha (dd/mm/aa)</w:t>
            </w:r>
          </w:p>
        </w:tc>
        <w:tc>
          <w:tcPr>
            <w:tcW w:w="7513" w:type="dxa"/>
            <w:gridSpan w:val="2"/>
          </w:tcPr>
          <w:p w14:paraId="457A7915" w14:textId="00CFBB99" w:rsidR="007C7DB4" w:rsidRPr="007C7DB4" w:rsidRDefault="00280D13">
            <w:pPr>
              <w:rPr>
                <w:rFonts w:ascii="Helvetica" w:hAnsi="Helvetica" w:cs="Helvetica"/>
              </w:rPr>
            </w:pPr>
            <w:r>
              <w:rPr>
                <w:rFonts w:ascii="Helvetica" w:hAnsi="Helvetica" w:cs="Helvetica"/>
              </w:rPr>
              <w:t xml:space="preserve">Mayo </w:t>
            </w:r>
            <w:r w:rsidR="007C7DB4">
              <w:rPr>
                <w:rFonts w:ascii="Helvetica" w:hAnsi="Helvetica" w:cs="Helvetica"/>
              </w:rPr>
              <w:t>202</w:t>
            </w:r>
            <w:r>
              <w:rPr>
                <w:rFonts w:ascii="Helvetica" w:hAnsi="Helvetica" w:cs="Helvetica"/>
              </w:rPr>
              <w:t>5</w:t>
            </w:r>
          </w:p>
        </w:tc>
      </w:tr>
      <w:tr w:rsidR="00303394" w:rsidRPr="007C7DB4" w14:paraId="141E564A" w14:textId="77777777" w:rsidTr="221773A6">
        <w:trPr>
          <w:trHeight w:val="410"/>
        </w:trPr>
        <w:tc>
          <w:tcPr>
            <w:tcW w:w="3686" w:type="dxa"/>
            <w:shd w:val="clear" w:color="auto" w:fill="FFF2CC" w:themeFill="accent4" w:themeFillTint="33"/>
            <w:vAlign w:val="center"/>
          </w:tcPr>
          <w:p w14:paraId="1217F0CF" w14:textId="77777777" w:rsidR="00303394" w:rsidRPr="0000695D" w:rsidRDefault="00303394" w:rsidP="00303394">
            <w:pPr>
              <w:rPr>
                <w:rFonts w:ascii="Helvetica" w:hAnsi="Helvetica" w:cs="Helvetica"/>
                <w:color w:val="404040" w:themeColor="text1" w:themeTint="BF"/>
              </w:rPr>
            </w:pPr>
            <w:r w:rsidRPr="0000695D">
              <w:rPr>
                <w:rFonts w:ascii="Helvetica" w:hAnsi="Helvetica" w:cs="Helvetica"/>
                <w:color w:val="404040" w:themeColor="text1" w:themeTint="BF"/>
              </w:rPr>
              <w:t>Proyecto de</w:t>
            </w:r>
          </w:p>
          <w:p w14:paraId="3B7DE9A6" w14:textId="77777777" w:rsidR="00303394" w:rsidRPr="0000695D" w:rsidRDefault="00303394" w:rsidP="00303394">
            <w:pPr>
              <w:rPr>
                <w:rFonts w:ascii="Helvetica" w:hAnsi="Helvetica" w:cs="Helvetica"/>
                <w:color w:val="404040" w:themeColor="text1" w:themeTint="BF"/>
              </w:rPr>
            </w:pPr>
            <w:r w:rsidRPr="0000695D">
              <w:rPr>
                <w:rFonts w:ascii="Helvetica" w:hAnsi="Helvetica" w:cs="Helvetica"/>
                <w:color w:val="404040" w:themeColor="text1" w:themeTint="BF"/>
              </w:rPr>
              <w:t>Decreto/Resolución</w:t>
            </w:r>
          </w:p>
        </w:tc>
        <w:tc>
          <w:tcPr>
            <w:tcW w:w="7513" w:type="dxa"/>
            <w:gridSpan w:val="2"/>
          </w:tcPr>
          <w:p w14:paraId="687964D6" w14:textId="2ABE2E6F" w:rsidR="00303394" w:rsidRPr="00303394" w:rsidRDefault="00303394" w:rsidP="00303394">
            <w:pPr>
              <w:jc w:val="both"/>
              <w:rPr>
                <w:rFonts w:ascii="Helvetica" w:hAnsi="Helvetica" w:cs="Helvetica"/>
              </w:rPr>
            </w:pPr>
            <w:r w:rsidRPr="00303394">
              <w:rPr>
                <w:rFonts w:ascii="Helvetica" w:hAnsi="Helvetica" w:cs="Helvetica"/>
              </w:rPr>
              <w:t>“</w:t>
            </w:r>
            <w:r w:rsidR="00280D13" w:rsidRPr="00280D13">
              <w:rPr>
                <w:rFonts w:ascii="Helvetica" w:hAnsi="Helvetica" w:cs="Helvetica"/>
              </w:rPr>
              <w:t xml:space="preserve">Por el cual se modifica y adiciona el Decreto 1083 de 2015, Único Reglamentario del Sector de Función Pública, en lo relacionado con el Sistema de Control Interno desarrollado en el </w:t>
            </w:r>
            <w:r w:rsidR="00913846">
              <w:rPr>
                <w:rFonts w:ascii="Helvetica" w:hAnsi="Helvetica" w:cs="Helvetica"/>
              </w:rPr>
              <w:t>Tí</w:t>
            </w:r>
            <w:r w:rsidR="00913846" w:rsidRPr="00280D13">
              <w:rPr>
                <w:rFonts w:ascii="Helvetica" w:hAnsi="Helvetica" w:cs="Helvetica"/>
              </w:rPr>
              <w:t>tulo 21</w:t>
            </w:r>
            <w:r w:rsidR="00913846">
              <w:rPr>
                <w:rFonts w:ascii="Helvetica" w:hAnsi="Helvetica" w:cs="Helvetica"/>
              </w:rPr>
              <w:t>, Capítulo 1</w:t>
            </w:r>
            <w:r w:rsidRPr="00303394">
              <w:rPr>
                <w:rFonts w:ascii="Helvetica" w:hAnsi="Helvetica" w:cs="Helvetica"/>
              </w:rPr>
              <w:t>”</w:t>
            </w:r>
          </w:p>
        </w:tc>
      </w:tr>
      <w:tr w:rsidR="00303394" w:rsidRPr="007C7DB4" w14:paraId="2792CEF3" w14:textId="77777777" w:rsidTr="221773A6">
        <w:trPr>
          <w:trHeight w:val="410"/>
        </w:trPr>
        <w:tc>
          <w:tcPr>
            <w:tcW w:w="3686" w:type="dxa"/>
            <w:shd w:val="clear" w:color="auto" w:fill="FFF2CC" w:themeFill="accent4" w:themeFillTint="33"/>
            <w:vAlign w:val="center"/>
          </w:tcPr>
          <w:p w14:paraId="6AE1019D" w14:textId="77777777" w:rsidR="00303394" w:rsidRPr="0000695D" w:rsidRDefault="00303394" w:rsidP="00303394">
            <w:pPr>
              <w:rPr>
                <w:rFonts w:ascii="Helvetica" w:hAnsi="Helvetica" w:cs="Helvetica"/>
                <w:color w:val="404040" w:themeColor="text1" w:themeTint="BF"/>
              </w:rPr>
            </w:pPr>
            <w:r w:rsidRPr="0000695D">
              <w:rPr>
                <w:rFonts w:ascii="Helvetica" w:hAnsi="Helvetica" w:cs="Helvetica"/>
                <w:color w:val="404040" w:themeColor="text1" w:themeTint="BF"/>
              </w:rPr>
              <w:t>Análisis de normas que otorgan competencia para la expedición del acto:</w:t>
            </w:r>
          </w:p>
        </w:tc>
        <w:tc>
          <w:tcPr>
            <w:tcW w:w="7513" w:type="dxa"/>
            <w:gridSpan w:val="2"/>
            <w:vAlign w:val="center"/>
          </w:tcPr>
          <w:p w14:paraId="5507CEBB" w14:textId="275BA71A" w:rsidR="00303394" w:rsidRDefault="00913846" w:rsidP="00303394">
            <w:pPr>
              <w:jc w:val="both"/>
              <w:rPr>
                <w:rFonts w:ascii="Helvetica" w:hAnsi="Helvetica" w:cs="Helvetica"/>
              </w:rPr>
            </w:pPr>
            <w:r w:rsidRPr="00913846">
              <w:rPr>
                <w:rFonts w:ascii="Helvetica" w:hAnsi="Helvetica" w:cs="Helvetica"/>
              </w:rPr>
              <w:t>Artículo 189 numeral 11 de la Constitución Política, el artículo 43 de la Ley 489 de 1998</w:t>
            </w:r>
            <w:r>
              <w:rPr>
                <w:rFonts w:ascii="Helvetica" w:hAnsi="Helvetica" w:cs="Helvetica"/>
              </w:rPr>
              <w:t xml:space="preserve"> y </w:t>
            </w:r>
            <w:r w:rsidRPr="00913846">
              <w:rPr>
                <w:rFonts w:ascii="Helvetica" w:hAnsi="Helvetica" w:cs="Helvetica"/>
              </w:rPr>
              <w:t>literal b) del artículo 2.2.21.2.3 del Decreto 1083 de 2015</w:t>
            </w:r>
          </w:p>
        </w:tc>
      </w:tr>
      <w:tr w:rsidR="00303394" w:rsidRPr="007C7DB4" w14:paraId="2868BC99" w14:textId="77777777" w:rsidTr="221773A6">
        <w:trPr>
          <w:trHeight w:val="613"/>
        </w:trPr>
        <w:tc>
          <w:tcPr>
            <w:tcW w:w="3686" w:type="dxa"/>
            <w:shd w:val="clear" w:color="auto" w:fill="FFF2CC" w:themeFill="accent4" w:themeFillTint="33"/>
            <w:vAlign w:val="center"/>
          </w:tcPr>
          <w:p w14:paraId="461A1326" w14:textId="77777777" w:rsidR="00303394" w:rsidRPr="0000695D" w:rsidRDefault="00303394" w:rsidP="00303394">
            <w:pPr>
              <w:rPr>
                <w:rFonts w:ascii="Helvetica" w:hAnsi="Helvetica" w:cs="Helvetica"/>
                <w:color w:val="404040" w:themeColor="text1" w:themeTint="BF"/>
              </w:rPr>
            </w:pPr>
            <w:r w:rsidRPr="0000695D">
              <w:rPr>
                <w:rFonts w:ascii="Helvetica" w:hAnsi="Helvetica" w:cs="Helvetica"/>
                <w:color w:val="404040" w:themeColor="text1" w:themeTint="BF"/>
              </w:rPr>
              <w:t>Vigencia de la norma reglamentada o desarrollada:</w:t>
            </w:r>
          </w:p>
        </w:tc>
        <w:tc>
          <w:tcPr>
            <w:tcW w:w="7513" w:type="dxa"/>
            <w:gridSpan w:val="2"/>
          </w:tcPr>
          <w:p w14:paraId="715D6E98" w14:textId="77777777" w:rsidR="00303394" w:rsidRDefault="00303394">
            <w:pPr>
              <w:rPr>
                <w:rFonts w:ascii="Helvetica" w:hAnsi="Helvetica" w:cs="Helvetica"/>
              </w:rPr>
            </w:pPr>
            <w:r>
              <w:rPr>
                <w:rFonts w:ascii="Helvetica" w:hAnsi="Helvetica" w:cs="Helvetica"/>
              </w:rPr>
              <w:t>Vigente</w:t>
            </w:r>
          </w:p>
        </w:tc>
      </w:tr>
      <w:tr w:rsidR="007C7DB4" w:rsidRPr="007C7DB4" w14:paraId="7FF1DC7A" w14:textId="77777777" w:rsidTr="221773A6">
        <w:trPr>
          <w:trHeight w:val="947"/>
        </w:trPr>
        <w:tc>
          <w:tcPr>
            <w:tcW w:w="3686" w:type="dxa"/>
            <w:shd w:val="clear" w:color="auto" w:fill="FFF2CC" w:themeFill="accent4" w:themeFillTint="33"/>
            <w:vAlign w:val="center"/>
          </w:tcPr>
          <w:p w14:paraId="55180B54" w14:textId="77777777" w:rsidR="007C7DB4" w:rsidRPr="0000695D" w:rsidRDefault="00303394" w:rsidP="00303394">
            <w:pPr>
              <w:rPr>
                <w:rFonts w:ascii="Helvetica" w:hAnsi="Helvetica" w:cs="Helvetica"/>
                <w:color w:val="404040" w:themeColor="text1" w:themeTint="BF"/>
              </w:rPr>
            </w:pPr>
            <w:r w:rsidRPr="0000695D">
              <w:rPr>
                <w:rFonts w:ascii="Helvetica" w:hAnsi="Helvetica" w:cs="Helvetica"/>
                <w:color w:val="404040" w:themeColor="text1" w:themeTint="BF"/>
              </w:rPr>
              <w:t>Disposiciones derogadas, subrogadas, modificadas, adicionadas o sustituidas:</w:t>
            </w:r>
          </w:p>
        </w:tc>
        <w:tc>
          <w:tcPr>
            <w:tcW w:w="7513" w:type="dxa"/>
            <w:gridSpan w:val="2"/>
            <w:vAlign w:val="center"/>
          </w:tcPr>
          <w:p w14:paraId="167775E0" w14:textId="6820E564" w:rsidR="007C7DB4" w:rsidRPr="00303394" w:rsidRDefault="00682A18" w:rsidP="00280D13">
            <w:pPr>
              <w:jc w:val="both"/>
              <w:rPr>
                <w:rFonts w:ascii="Helvetica" w:hAnsi="Helvetica" w:cs="Helvetica"/>
              </w:rPr>
            </w:pPr>
            <w:r>
              <w:rPr>
                <w:rFonts w:ascii="Helvetica" w:hAnsi="Helvetica" w:cs="Helvetica"/>
              </w:rPr>
              <w:t>Modifica</w:t>
            </w:r>
            <w:r w:rsidR="00303394">
              <w:rPr>
                <w:rFonts w:ascii="Helvetica" w:hAnsi="Helvetica" w:cs="Helvetica"/>
              </w:rPr>
              <w:t xml:space="preserve"> </w:t>
            </w:r>
            <w:r w:rsidR="00303394" w:rsidRPr="00303394">
              <w:rPr>
                <w:rFonts w:ascii="Helvetica" w:hAnsi="Helvetica" w:cs="Helvetica"/>
              </w:rPr>
              <w:t xml:space="preserve">el Título </w:t>
            </w:r>
            <w:r w:rsidR="00280D13">
              <w:rPr>
                <w:rFonts w:ascii="Helvetica" w:hAnsi="Helvetica" w:cs="Helvetica"/>
              </w:rPr>
              <w:t>21</w:t>
            </w:r>
            <w:r w:rsidR="00303394" w:rsidRPr="00303394">
              <w:rPr>
                <w:rFonts w:ascii="Helvetica" w:hAnsi="Helvetica" w:cs="Helvetica"/>
              </w:rPr>
              <w:t xml:space="preserve"> </w:t>
            </w:r>
            <w:r w:rsidR="00280D13" w:rsidRPr="00280D13">
              <w:rPr>
                <w:rFonts w:ascii="Helvetica" w:hAnsi="Helvetica" w:cs="Helvetica"/>
              </w:rPr>
              <w:t>SISTEMA DE CONTROL INTERNO</w:t>
            </w:r>
            <w:r>
              <w:rPr>
                <w:rFonts w:ascii="Helvetica" w:hAnsi="Helvetica" w:cs="Helvetica"/>
              </w:rPr>
              <w:t>,</w:t>
            </w:r>
            <w:r w:rsidR="00280D13">
              <w:rPr>
                <w:rFonts w:ascii="Helvetica" w:hAnsi="Helvetica" w:cs="Helvetica"/>
              </w:rPr>
              <w:t xml:space="preserve"> </w:t>
            </w:r>
            <w:r w:rsidRPr="00682A18">
              <w:rPr>
                <w:rFonts w:ascii="Helvetica" w:hAnsi="Helvetica" w:cs="Helvetica"/>
              </w:rPr>
              <w:t>artículos 2.2.21.1.5, 2.2.21.1.6, 2.2.21.4.8, 2.2.21.4.9, 2.2.21.5.4, 2.2.21.5.5 y 2.2.21.7.4; y suprim</w:t>
            </w:r>
            <w:r>
              <w:rPr>
                <w:rFonts w:ascii="Helvetica" w:hAnsi="Helvetica" w:cs="Helvetica"/>
              </w:rPr>
              <w:t>e</w:t>
            </w:r>
            <w:r w:rsidRPr="00682A18">
              <w:rPr>
                <w:rFonts w:ascii="Helvetica" w:hAnsi="Helvetica" w:cs="Helvetica"/>
              </w:rPr>
              <w:t xml:space="preserve"> el artículo 2.2.21.3.11 del Decreto 1083 de 2015</w:t>
            </w:r>
            <w:r w:rsidR="00280D13" w:rsidRPr="00280D13">
              <w:rPr>
                <w:rFonts w:ascii="Helvetica" w:hAnsi="Helvetica" w:cs="Helvetica"/>
              </w:rPr>
              <w:t>, Único Reglamentario del Sector de Función Pública, en lo relacionado con el Sistema de Control Interno</w:t>
            </w:r>
            <w:r w:rsidR="00280D13">
              <w:rPr>
                <w:rFonts w:ascii="Helvetica" w:hAnsi="Helvetica" w:cs="Helvetica"/>
              </w:rPr>
              <w:t>.</w:t>
            </w:r>
          </w:p>
        </w:tc>
      </w:tr>
      <w:tr w:rsidR="00303394" w:rsidRPr="007C7DB4" w14:paraId="13F6915E" w14:textId="77777777" w:rsidTr="221773A6">
        <w:trPr>
          <w:trHeight w:val="989"/>
        </w:trPr>
        <w:tc>
          <w:tcPr>
            <w:tcW w:w="11199" w:type="dxa"/>
            <w:gridSpan w:val="3"/>
            <w:vAlign w:val="center"/>
          </w:tcPr>
          <w:p w14:paraId="7CA426CF" w14:textId="77777777" w:rsidR="00303394" w:rsidRDefault="00303394" w:rsidP="00303394">
            <w:pPr>
              <w:jc w:val="both"/>
              <w:rPr>
                <w:rFonts w:ascii="Helvetica" w:hAnsi="Helvetica" w:cs="Helvetica"/>
                <w:b/>
              </w:rPr>
            </w:pPr>
          </w:p>
          <w:p w14:paraId="4071C205" w14:textId="77777777" w:rsidR="00303394" w:rsidRPr="00F02C2A" w:rsidRDefault="00303394" w:rsidP="00303394">
            <w:pPr>
              <w:jc w:val="both"/>
              <w:rPr>
                <w:rFonts w:ascii="Helvetica" w:hAnsi="Helvetica" w:cs="Helvetica"/>
                <w:b/>
              </w:rPr>
            </w:pPr>
            <w:r>
              <w:rPr>
                <w:rFonts w:ascii="Helvetica" w:hAnsi="Helvetica" w:cs="Helvetica"/>
                <w:b/>
              </w:rPr>
              <w:t>I</w:t>
            </w:r>
            <w:r w:rsidRPr="00F02C2A">
              <w:rPr>
                <w:rFonts w:ascii="Helvetica" w:hAnsi="Helvetica" w:cs="Helvetica"/>
                <w:b/>
              </w:rPr>
              <w:t>. ANTECEDENTES Y RAZONES DE OPORTUNIDAD Y CONVENIENCIA QUE JUSTIFICAN SU EXPEDICIÓN.</w:t>
            </w:r>
          </w:p>
          <w:p w14:paraId="1E2D79E9" w14:textId="77777777" w:rsidR="002B44DE" w:rsidRDefault="002B44DE" w:rsidP="00303394">
            <w:pPr>
              <w:jc w:val="both"/>
              <w:rPr>
                <w:rFonts w:ascii="Helvetica" w:hAnsi="Helvetica" w:cs="Helvetica"/>
              </w:rPr>
            </w:pPr>
          </w:p>
          <w:p w14:paraId="1082497D" w14:textId="1F0B2D3C" w:rsidR="00677D40" w:rsidRDefault="00677D40" w:rsidP="00677D40">
            <w:pPr>
              <w:jc w:val="both"/>
              <w:rPr>
                <w:rFonts w:ascii="Helvetica" w:hAnsi="Helvetica" w:cs="Helvetica"/>
                <w:b/>
                <w:bCs/>
              </w:rPr>
            </w:pPr>
            <w:r w:rsidRPr="00677D40">
              <w:rPr>
                <w:rFonts w:ascii="Helvetica" w:hAnsi="Helvetica" w:cs="Helvetica"/>
                <w:b/>
                <w:bCs/>
              </w:rPr>
              <w:t xml:space="preserve">ANTECEDENTES Y RAZONES DE OPORTUNIDAD Y CONVENIENCIA QUE JUSTIFICAN LA MODIFICACIÓN DE LOS ARTÍCULOS </w:t>
            </w:r>
            <w:r w:rsidR="00430C62" w:rsidRPr="00430C62">
              <w:rPr>
                <w:rFonts w:ascii="Helvetica" w:hAnsi="Helvetica" w:cs="Helvetica"/>
                <w:b/>
                <w:bCs/>
              </w:rPr>
              <w:t xml:space="preserve">2.2.21.1.5, 2.2.21.1.6, 2.2.21.4.8, 2.2.21.4.9, 2.2.21.5.4, 2.2.21.5.5 </w:t>
            </w:r>
            <w:r w:rsidR="00430C62">
              <w:rPr>
                <w:rFonts w:ascii="Helvetica" w:hAnsi="Helvetica" w:cs="Helvetica"/>
                <w:b/>
                <w:bCs/>
              </w:rPr>
              <w:t>Y</w:t>
            </w:r>
            <w:r w:rsidR="00430C62" w:rsidRPr="00430C62">
              <w:rPr>
                <w:rFonts w:ascii="Helvetica" w:hAnsi="Helvetica" w:cs="Helvetica"/>
                <w:b/>
                <w:bCs/>
              </w:rPr>
              <w:t xml:space="preserve"> 2.2.21.7.4</w:t>
            </w:r>
            <w:r w:rsidRPr="00677D40">
              <w:rPr>
                <w:rFonts w:ascii="Helvetica" w:hAnsi="Helvetica" w:cs="Helvetica"/>
                <w:b/>
                <w:bCs/>
              </w:rPr>
              <w:t xml:space="preserve"> DEL DECRETO 1083 DE 2015, </w:t>
            </w:r>
            <w:r w:rsidR="00430C62">
              <w:rPr>
                <w:rFonts w:ascii="Helvetica" w:hAnsi="Helvetica" w:cs="Helvetica"/>
                <w:b/>
                <w:bCs/>
              </w:rPr>
              <w:t xml:space="preserve">Y LA SUPRESIÓN DEL ARTÍCULO </w:t>
            </w:r>
            <w:r w:rsidR="00430C62" w:rsidRPr="00430C62">
              <w:rPr>
                <w:rFonts w:ascii="Helvetica" w:hAnsi="Helvetica" w:cs="Helvetica"/>
                <w:b/>
                <w:bCs/>
              </w:rPr>
              <w:t>2.2.21.3.11</w:t>
            </w:r>
            <w:r w:rsidR="00430C62">
              <w:rPr>
                <w:rFonts w:ascii="Helvetica" w:hAnsi="Helvetica" w:cs="Helvetica"/>
                <w:b/>
                <w:bCs/>
              </w:rPr>
              <w:t xml:space="preserve">, </w:t>
            </w:r>
            <w:r w:rsidRPr="00677D40">
              <w:rPr>
                <w:rFonts w:ascii="Helvetica" w:hAnsi="Helvetica" w:cs="Helvetica"/>
                <w:b/>
                <w:bCs/>
              </w:rPr>
              <w:t>EN LO RELACIONADO CON EL SISTEMA DE CONTROL INTERNO</w:t>
            </w:r>
          </w:p>
          <w:p w14:paraId="5024FB21" w14:textId="77777777" w:rsidR="00301804" w:rsidRPr="00677D40" w:rsidRDefault="00301804" w:rsidP="00677D40">
            <w:pPr>
              <w:jc w:val="both"/>
              <w:rPr>
                <w:rFonts w:ascii="Helvetica" w:hAnsi="Helvetica" w:cs="Helvetica"/>
              </w:rPr>
            </w:pPr>
          </w:p>
          <w:p w14:paraId="7F38CA3B" w14:textId="77777777" w:rsidR="00301804" w:rsidRDefault="00301804" w:rsidP="00301804">
            <w:pPr>
              <w:jc w:val="both"/>
              <w:rPr>
                <w:rFonts w:ascii="Helvetica" w:hAnsi="Helvetica" w:cs="Helvetica"/>
              </w:rPr>
            </w:pPr>
            <w:r w:rsidRPr="00301804">
              <w:rPr>
                <w:rFonts w:ascii="Helvetica" w:hAnsi="Helvetica" w:cs="Helvetica"/>
              </w:rPr>
              <w:t>De conformidad con el artículo 209 de la Constitución Política, la función administrativa está al servicio de los intereses generales y debe desarrollarse con fundamento en los principios de igualdad, moralidad, eficacia, economía, celeridad, imparcialidad y publicidad. En consonancia, el artículo 4 de la Ley 489 de 1998 establece que la función administrativa del Estado se orienta a la satisfacción de las necesidades generales, bajo los principios, finalidades y cometidos consagrados en la Constitución.</w:t>
            </w:r>
          </w:p>
          <w:p w14:paraId="3407D0D7" w14:textId="77777777" w:rsidR="00301804" w:rsidRPr="00301804" w:rsidRDefault="00301804" w:rsidP="00301804">
            <w:pPr>
              <w:jc w:val="both"/>
              <w:rPr>
                <w:rFonts w:ascii="Helvetica" w:hAnsi="Helvetica" w:cs="Helvetica"/>
              </w:rPr>
            </w:pPr>
          </w:p>
          <w:p w14:paraId="692778A7" w14:textId="77777777" w:rsidR="005B608A" w:rsidRDefault="00301804" w:rsidP="00301804">
            <w:pPr>
              <w:jc w:val="both"/>
              <w:rPr>
                <w:rFonts w:ascii="Helvetica" w:hAnsi="Helvetica" w:cs="Helvetica"/>
              </w:rPr>
            </w:pPr>
            <w:r w:rsidRPr="00301804">
              <w:rPr>
                <w:rFonts w:ascii="Helvetica" w:hAnsi="Helvetica" w:cs="Helvetica"/>
              </w:rPr>
              <w:t xml:space="preserve">Adicionalmente, el artículo 269 de la Constitución impone a todas las entidades públicas el deber de diseñar y aplicar métodos y procedimientos de control interno que permitan evaluar la gestión y asegurar el cumplimiento de los objetivos institucionales. </w:t>
            </w:r>
          </w:p>
          <w:p w14:paraId="5592040C" w14:textId="77777777" w:rsidR="005B608A" w:rsidRDefault="005B608A" w:rsidP="00301804">
            <w:pPr>
              <w:jc w:val="both"/>
              <w:rPr>
                <w:rFonts w:ascii="Helvetica" w:hAnsi="Helvetica" w:cs="Helvetica"/>
              </w:rPr>
            </w:pPr>
          </w:p>
          <w:p w14:paraId="57ACA411" w14:textId="02265E26" w:rsidR="006033EA" w:rsidRPr="006033EA" w:rsidRDefault="00301804" w:rsidP="006033EA">
            <w:pPr>
              <w:jc w:val="both"/>
              <w:rPr>
                <w:rFonts w:ascii="Helvetica" w:hAnsi="Helvetica" w:cs="Helvetica"/>
              </w:rPr>
            </w:pPr>
            <w:r w:rsidRPr="00301804">
              <w:rPr>
                <w:rFonts w:ascii="Helvetica" w:hAnsi="Helvetica" w:cs="Helvetica"/>
              </w:rPr>
              <w:t xml:space="preserve">Este mandato desarrollado por la Ley 87 de 1993, reglamenta el Sistema de Control Interno </w:t>
            </w:r>
            <w:r w:rsidR="005B608A">
              <w:rPr>
                <w:rFonts w:ascii="Helvetica" w:hAnsi="Helvetica" w:cs="Helvetica"/>
              </w:rPr>
              <w:t xml:space="preserve">y lo define </w:t>
            </w:r>
            <w:r w:rsidRPr="00301804">
              <w:rPr>
                <w:rFonts w:ascii="Helvetica" w:hAnsi="Helvetica" w:cs="Helvetica"/>
              </w:rPr>
              <w:t xml:space="preserve">como un </w:t>
            </w:r>
            <w:r w:rsidR="005B608A">
              <w:rPr>
                <w:rFonts w:ascii="Helvetica" w:hAnsi="Helvetica" w:cs="Helvetica"/>
              </w:rPr>
              <w:t xml:space="preserve">sistema </w:t>
            </w:r>
            <w:r w:rsidR="005B608A" w:rsidRPr="005B608A">
              <w:rPr>
                <w:rFonts w:ascii="Helvetica" w:hAnsi="Helvetica" w:cs="Helvetica"/>
              </w:rPr>
              <w:t>integrado por el esquema de organización y el conjunto de los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constitucionales y legales vigentes</w:t>
            </w:r>
            <w:r w:rsidR="00913846">
              <w:rPr>
                <w:rFonts w:ascii="Helvetica" w:hAnsi="Helvetica" w:cs="Helvetica"/>
              </w:rPr>
              <w:t>,</w:t>
            </w:r>
            <w:r w:rsidR="005B608A" w:rsidRPr="005B608A">
              <w:rPr>
                <w:rFonts w:ascii="Helvetica" w:hAnsi="Helvetica" w:cs="Helvetica"/>
              </w:rPr>
              <w:t xml:space="preserve"> dentro de las políticas trazadas por la dirección y en atención a las metas u objetivos previstos</w:t>
            </w:r>
            <w:r w:rsidR="005B608A">
              <w:rPr>
                <w:rFonts w:ascii="Helvetica" w:hAnsi="Helvetica" w:cs="Helvetica"/>
              </w:rPr>
              <w:t>, en la búsqueda de garantizar la p</w:t>
            </w:r>
            <w:r w:rsidR="005B608A" w:rsidRPr="005B608A">
              <w:rPr>
                <w:rFonts w:ascii="Helvetica" w:hAnsi="Helvetica" w:cs="Helvetica"/>
              </w:rPr>
              <w:t>rote</w:t>
            </w:r>
            <w:r w:rsidR="005B608A">
              <w:rPr>
                <w:rFonts w:ascii="Helvetica" w:hAnsi="Helvetica" w:cs="Helvetica"/>
              </w:rPr>
              <w:t>cción de</w:t>
            </w:r>
            <w:r w:rsidR="005B608A" w:rsidRPr="005B608A">
              <w:rPr>
                <w:rFonts w:ascii="Helvetica" w:hAnsi="Helvetica" w:cs="Helvetica"/>
              </w:rPr>
              <w:t xml:space="preserve"> los recursos</w:t>
            </w:r>
            <w:r w:rsidR="005B608A">
              <w:rPr>
                <w:rFonts w:ascii="Helvetica" w:hAnsi="Helvetica" w:cs="Helvetica"/>
              </w:rPr>
              <w:t xml:space="preserve"> </w:t>
            </w:r>
            <w:r w:rsidR="005B608A" w:rsidRPr="005B608A">
              <w:rPr>
                <w:rFonts w:ascii="Helvetica" w:hAnsi="Helvetica" w:cs="Helvetica"/>
              </w:rPr>
              <w:t>ante posibles riesgos que lo afecten</w:t>
            </w:r>
            <w:r w:rsidR="006033EA">
              <w:rPr>
                <w:rFonts w:ascii="Helvetica" w:hAnsi="Helvetica" w:cs="Helvetica"/>
              </w:rPr>
              <w:t xml:space="preserve"> y</w:t>
            </w:r>
            <w:r w:rsidR="00692213">
              <w:rPr>
                <w:rFonts w:ascii="Helvetica" w:hAnsi="Helvetica" w:cs="Helvetica"/>
              </w:rPr>
              <w:t xml:space="preserve"> </w:t>
            </w:r>
            <w:r w:rsidR="006033EA">
              <w:rPr>
                <w:rFonts w:ascii="Helvetica" w:hAnsi="Helvetica" w:cs="Helvetica"/>
              </w:rPr>
              <w:t>v</w:t>
            </w:r>
            <w:r w:rsidR="006033EA" w:rsidRPr="006033EA">
              <w:rPr>
                <w:rFonts w:ascii="Helvetica" w:hAnsi="Helvetica" w:cs="Helvetica"/>
              </w:rPr>
              <w:t xml:space="preserve">elar porque todas </w:t>
            </w:r>
            <w:r w:rsidR="00430C62">
              <w:rPr>
                <w:rFonts w:ascii="Helvetica" w:hAnsi="Helvetica" w:cs="Helvetica"/>
              </w:rPr>
              <w:t>los procesos, programas y proyectos</w:t>
            </w:r>
            <w:r w:rsidR="006033EA" w:rsidRPr="006033EA">
              <w:rPr>
                <w:rFonts w:ascii="Helvetica" w:hAnsi="Helvetica" w:cs="Helvetica"/>
              </w:rPr>
              <w:t xml:space="preserve"> estén dirigidos al cumplimiento de los objetivos de la entidad</w:t>
            </w:r>
            <w:r w:rsidR="00430C62">
              <w:rPr>
                <w:rFonts w:ascii="Helvetica" w:hAnsi="Helvetica" w:cs="Helvetica"/>
              </w:rPr>
              <w:t xml:space="preserve"> y por ende, incrementar la capacidad de las entidades para entregar productos y servicios públicos con calidad e integridad en el servicio público.</w:t>
            </w:r>
          </w:p>
          <w:p w14:paraId="151F00B0" w14:textId="77777777" w:rsidR="006033EA" w:rsidRPr="006033EA" w:rsidRDefault="006033EA" w:rsidP="006033EA">
            <w:pPr>
              <w:jc w:val="both"/>
              <w:rPr>
                <w:rFonts w:ascii="Helvetica" w:hAnsi="Helvetica" w:cs="Helvetica"/>
              </w:rPr>
            </w:pPr>
          </w:p>
          <w:p w14:paraId="372FAE88" w14:textId="6FCC284B" w:rsidR="00301804" w:rsidRDefault="00430C62" w:rsidP="00301804">
            <w:pPr>
              <w:jc w:val="both"/>
              <w:rPr>
                <w:rFonts w:ascii="Helvetica" w:hAnsi="Helvetica" w:cs="Helvetica"/>
              </w:rPr>
            </w:pPr>
            <w:r>
              <w:rPr>
                <w:rFonts w:ascii="Helvetica" w:hAnsi="Helvetica" w:cs="Helvetica"/>
              </w:rPr>
              <w:lastRenderedPageBreak/>
              <w:t>Así mismo, l</w:t>
            </w:r>
            <w:r w:rsidR="00301804" w:rsidRPr="00301804">
              <w:rPr>
                <w:rFonts w:ascii="Helvetica" w:hAnsi="Helvetica" w:cs="Helvetica"/>
              </w:rPr>
              <w:t xml:space="preserve">a Ley 87 de 1993 establece que el Sistema de Control Interno promueve el fortalecimiento de los valores organizacionales, el control social, la evaluación permanente del desempeño institucional y la creación de mecanismos para la </w:t>
            </w:r>
            <w:r w:rsidR="002A5698">
              <w:rPr>
                <w:rFonts w:ascii="Helvetica" w:hAnsi="Helvetica" w:cs="Helvetica"/>
              </w:rPr>
              <w:t>prevención</w:t>
            </w:r>
            <w:r w:rsidR="00301804" w:rsidRPr="00301804">
              <w:rPr>
                <w:rFonts w:ascii="Helvetica" w:hAnsi="Helvetica" w:cs="Helvetica"/>
              </w:rPr>
              <w:t xml:space="preserve"> y mitigación de riesgos.</w:t>
            </w:r>
          </w:p>
          <w:p w14:paraId="304CBB41" w14:textId="0AB88987" w:rsidR="005E56A0" w:rsidRDefault="005E56A0" w:rsidP="00301804">
            <w:pPr>
              <w:jc w:val="both"/>
              <w:rPr>
                <w:rFonts w:ascii="Helvetica" w:hAnsi="Helvetica" w:cs="Helvetica"/>
              </w:rPr>
            </w:pPr>
          </w:p>
          <w:p w14:paraId="3B476422" w14:textId="427B77A6" w:rsidR="00301804" w:rsidRDefault="00743D96" w:rsidP="00301804">
            <w:pPr>
              <w:jc w:val="both"/>
              <w:rPr>
                <w:rFonts w:ascii="Helvetica" w:hAnsi="Helvetica" w:cs="Helvetica"/>
              </w:rPr>
            </w:pPr>
            <w:r>
              <w:rPr>
                <w:rFonts w:ascii="Helvetica" w:hAnsi="Helvetica" w:cs="Helvetica"/>
              </w:rPr>
              <w:t xml:space="preserve">Para una correcta implementación por parte de las entidades de los Sistemas Institucionales de Control Interno, el </w:t>
            </w:r>
            <w:r w:rsidR="005E56A0">
              <w:rPr>
                <w:rFonts w:ascii="Helvetica" w:hAnsi="Helvetica" w:cs="Helvetica"/>
              </w:rPr>
              <w:t xml:space="preserve"> Departamento Administrativo de la Función Pública, </w:t>
            </w:r>
            <w:r w:rsidR="005E56A0" w:rsidRPr="005E56A0">
              <w:rPr>
                <w:rFonts w:ascii="Helvetica" w:hAnsi="Helvetica" w:cs="Helvetica"/>
              </w:rPr>
              <w:t>a quien corresponde fijar de acuerdo con el Presidente de la República, las políticas de Administración Pública, en especial las relacionadas con Control Interno</w:t>
            </w:r>
            <w:r w:rsidR="005E56A0">
              <w:rPr>
                <w:rFonts w:ascii="Helvetica" w:hAnsi="Helvetica" w:cs="Helvetica"/>
              </w:rPr>
              <w:t xml:space="preserve">, de conformidad con el literal b) del artículo </w:t>
            </w:r>
            <w:r w:rsidR="005E56A0" w:rsidRPr="005E56A0">
              <w:rPr>
                <w:rFonts w:ascii="Helvetica" w:hAnsi="Helvetica" w:cs="Helvetica"/>
              </w:rPr>
              <w:t>2.2.21.2.3</w:t>
            </w:r>
            <w:r w:rsidR="00FB43A2">
              <w:rPr>
                <w:rFonts w:ascii="Helvetica" w:hAnsi="Helvetica" w:cs="Helvetica"/>
              </w:rPr>
              <w:t xml:space="preserve"> del </w:t>
            </w:r>
            <w:r w:rsidR="00301804" w:rsidRPr="00301804">
              <w:rPr>
                <w:rFonts w:ascii="Helvetica" w:hAnsi="Helvetica" w:cs="Helvetica"/>
              </w:rPr>
              <w:t>Decreto 1083 de 2015, como compilación normativa del sector Función Pública,</w:t>
            </w:r>
            <w:r w:rsidR="00FB43A2">
              <w:rPr>
                <w:rFonts w:ascii="Helvetica" w:hAnsi="Helvetica" w:cs="Helvetica"/>
              </w:rPr>
              <w:t xml:space="preserve"> </w:t>
            </w:r>
            <w:r w:rsidR="0021147D">
              <w:rPr>
                <w:rFonts w:ascii="Helvetica" w:hAnsi="Helvetica" w:cs="Helvetica"/>
              </w:rPr>
              <w:t>ha</w:t>
            </w:r>
            <w:r>
              <w:rPr>
                <w:rFonts w:ascii="Helvetica" w:hAnsi="Helvetica" w:cs="Helvetica"/>
              </w:rPr>
              <w:t xml:space="preserve"> venido</w:t>
            </w:r>
            <w:r w:rsidR="0021147D">
              <w:rPr>
                <w:rFonts w:ascii="Helvetica" w:hAnsi="Helvetica" w:cs="Helvetica"/>
              </w:rPr>
              <w:t xml:space="preserve"> </w:t>
            </w:r>
            <w:r w:rsidR="00301804" w:rsidRPr="00301804">
              <w:rPr>
                <w:rFonts w:ascii="Helvetica" w:hAnsi="Helvetica" w:cs="Helvetica"/>
              </w:rPr>
              <w:t>incorpor</w:t>
            </w:r>
            <w:r w:rsidR="00FB43A2">
              <w:rPr>
                <w:rFonts w:ascii="Helvetica" w:hAnsi="Helvetica" w:cs="Helvetica"/>
              </w:rPr>
              <w:t>ado</w:t>
            </w:r>
            <w:r w:rsidR="00301804" w:rsidRPr="00301804">
              <w:rPr>
                <w:rFonts w:ascii="Helvetica" w:hAnsi="Helvetica" w:cs="Helvetica"/>
              </w:rPr>
              <w:t xml:space="preserve"> los </w:t>
            </w:r>
            <w:r w:rsidR="0021147D">
              <w:rPr>
                <w:rFonts w:ascii="Helvetica" w:hAnsi="Helvetica" w:cs="Helvetica"/>
              </w:rPr>
              <w:t xml:space="preserve">lineamientos </w:t>
            </w:r>
            <w:r>
              <w:rPr>
                <w:rFonts w:ascii="Helvetica" w:hAnsi="Helvetica" w:cs="Helvetica"/>
              </w:rPr>
              <w:t>requeridos</w:t>
            </w:r>
            <w:r w:rsidR="00301804" w:rsidRPr="00301804">
              <w:rPr>
                <w:rFonts w:ascii="Helvetica" w:hAnsi="Helvetica" w:cs="Helvetica"/>
              </w:rPr>
              <w:t xml:space="preserve"> en correspondencia con lo establecido en la Ley 87 de 1993. Dentro de este cuerpo normativo, el Título 21 consolidó </w:t>
            </w:r>
            <w:r w:rsidR="0021147D">
              <w:rPr>
                <w:rFonts w:ascii="Helvetica" w:hAnsi="Helvetica" w:cs="Helvetica"/>
              </w:rPr>
              <w:t>las directrices</w:t>
            </w:r>
            <w:r w:rsidR="0021147D" w:rsidRPr="00301804">
              <w:rPr>
                <w:rFonts w:ascii="Helvetica" w:hAnsi="Helvetica" w:cs="Helvetica"/>
              </w:rPr>
              <w:t xml:space="preserve"> </w:t>
            </w:r>
            <w:r w:rsidR="00301804" w:rsidRPr="00301804">
              <w:rPr>
                <w:rFonts w:ascii="Helvetica" w:hAnsi="Helvetica" w:cs="Helvetica"/>
              </w:rPr>
              <w:t xml:space="preserve">que rigen el Sistema de Control Interno, </w:t>
            </w:r>
            <w:r w:rsidR="0021147D">
              <w:rPr>
                <w:rFonts w:ascii="Helvetica" w:hAnsi="Helvetica" w:cs="Helvetica"/>
              </w:rPr>
              <w:t xml:space="preserve">desde su definición, campo de aplicación, institucionalidad básica para la operación del mismo en cada una de las entidades; así mismo </w:t>
            </w:r>
            <w:r w:rsidR="00301804" w:rsidRPr="00301804">
              <w:rPr>
                <w:rFonts w:ascii="Helvetica" w:hAnsi="Helvetica" w:cs="Helvetica"/>
              </w:rPr>
              <w:t>aborda</w:t>
            </w:r>
            <w:r w:rsidR="0021147D">
              <w:rPr>
                <w:rFonts w:ascii="Helvetica" w:hAnsi="Helvetica" w:cs="Helvetica"/>
              </w:rPr>
              <w:t xml:space="preserve"> las</w:t>
            </w:r>
            <w:r w:rsidR="00301804" w:rsidRPr="00301804">
              <w:rPr>
                <w:rFonts w:ascii="Helvetica" w:hAnsi="Helvetica" w:cs="Helvetica"/>
              </w:rPr>
              <w:t xml:space="preserve"> </w:t>
            </w:r>
            <w:r w:rsidR="0021147D" w:rsidRPr="0021147D">
              <w:rPr>
                <w:rFonts w:ascii="Helvetica" w:hAnsi="Helvetica" w:cs="Helvetica"/>
              </w:rPr>
              <w:t>instancias de articulación</w:t>
            </w:r>
            <w:r w:rsidR="0021147D">
              <w:rPr>
                <w:rFonts w:ascii="Helvetica" w:hAnsi="Helvetica" w:cs="Helvetica"/>
              </w:rPr>
              <w:t xml:space="preserve"> para el Sistema Nacional de Control Interno, </w:t>
            </w:r>
            <w:r w:rsidR="002C3EA4">
              <w:rPr>
                <w:rFonts w:ascii="Helvetica" w:hAnsi="Helvetica" w:cs="Helvetica"/>
              </w:rPr>
              <w:t>donde se incluye el rol de la Contraloría</w:t>
            </w:r>
            <w:r w:rsidR="002C3EA4">
              <w:t xml:space="preserve"> </w:t>
            </w:r>
            <w:r w:rsidR="002C3EA4" w:rsidRPr="002C3EA4">
              <w:rPr>
                <w:rFonts w:ascii="Helvetica" w:hAnsi="Helvetica" w:cs="Helvetica"/>
              </w:rPr>
              <w:t xml:space="preserve">General de la República y las Contralorías Departamentales y Municipales, </w:t>
            </w:r>
            <w:r w:rsidR="002C3EA4">
              <w:rPr>
                <w:rFonts w:ascii="Helvetica" w:hAnsi="Helvetica" w:cs="Helvetica"/>
              </w:rPr>
              <w:t xml:space="preserve">instancias que </w:t>
            </w:r>
            <w:r w:rsidR="002C3EA4" w:rsidRPr="002C3EA4">
              <w:rPr>
                <w:rFonts w:ascii="Helvetica" w:hAnsi="Helvetica" w:cs="Helvetica"/>
              </w:rPr>
              <w:t>por atribución constitucional y legal les corresponde conceptuar sobre la calidad y eficiencia del control fiscal en su respectiva jurisdicción,</w:t>
            </w:r>
            <w:r>
              <w:rPr>
                <w:rFonts w:ascii="Helvetica" w:hAnsi="Helvetica" w:cs="Helvetica"/>
              </w:rPr>
              <w:t xml:space="preserve"> lo</w:t>
            </w:r>
            <w:r w:rsidR="002C3EA4" w:rsidRPr="002C3EA4">
              <w:rPr>
                <w:rFonts w:ascii="Helvetica" w:hAnsi="Helvetica" w:cs="Helvetica"/>
              </w:rPr>
              <w:t xml:space="preserve"> </w:t>
            </w:r>
            <w:r w:rsidR="00F3304C">
              <w:rPr>
                <w:rFonts w:ascii="Helvetica" w:hAnsi="Helvetica" w:cs="Helvetica"/>
              </w:rPr>
              <w:t>que permite</w:t>
            </w:r>
            <w:r w:rsidR="0021147D" w:rsidRPr="0021147D">
              <w:rPr>
                <w:rFonts w:ascii="Helvetica" w:hAnsi="Helvetica" w:cs="Helvetica"/>
              </w:rPr>
              <w:t xml:space="preserve"> </w:t>
            </w:r>
            <w:r w:rsidR="00F3304C">
              <w:rPr>
                <w:rFonts w:ascii="Helvetica" w:hAnsi="Helvetica" w:cs="Helvetica"/>
              </w:rPr>
              <w:t>definir las</w:t>
            </w:r>
            <w:r w:rsidR="0021147D" w:rsidRPr="0021147D">
              <w:rPr>
                <w:rFonts w:ascii="Helvetica" w:hAnsi="Helvetica" w:cs="Helvetica"/>
              </w:rPr>
              <w:t xml:space="preserve"> interrelaciones con los sistemas de control interno de las entidades públicas, </w:t>
            </w:r>
            <w:r w:rsidR="00F3304C">
              <w:rPr>
                <w:rFonts w:ascii="Helvetica" w:hAnsi="Helvetica" w:cs="Helvetica"/>
              </w:rPr>
              <w:t>para</w:t>
            </w:r>
            <w:r w:rsidR="0021147D" w:rsidRPr="0021147D">
              <w:rPr>
                <w:rFonts w:ascii="Helvetica" w:hAnsi="Helvetica" w:cs="Helvetica"/>
              </w:rPr>
              <w:t xml:space="preserve"> el fortalecimiento del Control Interno del Estado</w:t>
            </w:r>
            <w:r w:rsidR="00F3304C">
              <w:rPr>
                <w:rFonts w:ascii="Helvetica" w:hAnsi="Helvetica" w:cs="Helvetica"/>
              </w:rPr>
              <w:t>.</w:t>
            </w:r>
          </w:p>
          <w:p w14:paraId="64375EB1" w14:textId="77777777" w:rsidR="00301804" w:rsidRPr="00301804" w:rsidRDefault="00301804" w:rsidP="00301804">
            <w:pPr>
              <w:jc w:val="both"/>
              <w:rPr>
                <w:rFonts w:ascii="Helvetica" w:hAnsi="Helvetica" w:cs="Helvetica"/>
              </w:rPr>
            </w:pPr>
          </w:p>
          <w:p w14:paraId="07417591" w14:textId="77777777" w:rsidR="00854E0E" w:rsidRDefault="00743D96" w:rsidP="00301804">
            <w:pPr>
              <w:jc w:val="both"/>
              <w:rPr>
                <w:rFonts w:ascii="Helvetica" w:hAnsi="Helvetica" w:cs="Helvetica"/>
              </w:rPr>
            </w:pPr>
            <w:r>
              <w:rPr>
                <w:rFonts w:ascii="Helvetica" w:hAnsi="Helvetica" w:cs="Helvetica"/>
              </w:rPr>
              <w:t xml:space="preserve">Teniendo en cuenta que en 2017 se expide el Modelo Integrado de Planeación y Gestión MIPG, el cual, por mandato del artículo 133 de la Ley </w:t>
            </w:r>
            <w:r w:rsidRPr="00743D96">
              <w:rPr>
                <w:rFonts w:ascii="Helvetica" w:hAnsi="Helvetica" w:cs="Helvetica"/>
              </w:rPr>
              <w:t xml:space="preserve">1753 </w:t>
            </w:r>
            <w:r>
              <w:rPr>
                <w:rFonts w:ascii="Helvetica" w:hAnsi="Helvetica" w:cs="Helvetica"/>
              </w:rPr>
              <w:t>de</w:t>
            </w:r>
            <w:r w:rsidRPr="00743D96">
              <w:rPr>
                <w:rFonts w:ascii="Helvetica" w:hAnsi="Helvetica" w:cs="Helvetica"/>
              </w:rPr>
              <w:t xml:space="preserve"> 2015</w:t>
            </w:r>
            <w:r>
              <w:rPr>
                <w:rFonts w:ascii="Helvetica" w:hAnsi="Helvetica" w:cs="Helvetica"/>
              </w:rPr>
              <w:t xml:space="preserve"> permitió i</w:t>
            </w:r>
            <w:r w:rsidRPr="00743D96">
              <w:rPr>
                <w:rFonts w:ascii="Helvetica" w:hAnsi="Helvetica" w:cs="Helvetica"/>
              </w:rPr>
              <w:t>nt</w:t>
            </w:r>
            <w:r>
              <w:rPr>
                <w:rFonts w:ascii="Helvetica" w:hAnsi="Helvetica" w:cs="Helvetica"/>
              </w:rPr>
              <w:t>e</w:t>
            </w:r>
            <w:r w:rsidRPr="00743D96">
              <w:rPr>
                <w:rFonts w:ascii="Helvetica" w:hAnsi="Helvetica" w:cs="Helvetica"/>
              </w:rPr>
              <w:t>gr</w:t>
            </w:r>
            <w:r>
              <w:rPr>
                <w:rFonts w:ascii="Helvetica" w:hAnsi="Helvetica" w:cs="Helvetica"/>
              </w:rPr>
              <w:t>ar</w:t>
            </w:r>
            <w:r w:rsidRPr="00743D96">
              <w:rPr>
                <w:rFonts w:ascii="Helvetica" w:hAnsi="Helvetica" w:cs="Helvetica"/>
              </w:rPr>
              <w:t xml:space="preserve"> en un solo Sistema de Gestión, los Sistemas de Gestión de la Calidad de </w:t>
            </w:r>
            <w:r>
              <w:rPr>
                <w:rFonts w:ascii="Helvetica" w:hAnsi="Helvetica" w:cs="Helvetica"/>
              </w:rPr>
              <w:t>regulados por</w:t>
            </w:r>
            <w:r w:rsidRPr="00743D96">
              <w:rPr>
                <w:rFonts w:ascii="Helvetica" w:hAnsi="Helvetica" w:cs="Helvetica"/>
              </w:rPr>
              <w:t xml:space="preserve"> la Ley 872 de 2003 y de Desarrollo Administrativo </w:t>
            </w:r>
            <w:r>
              <w:rPr>
                <w:rFonts w:ascii="Helvetica" w:hAnsi="Helvetica" w:cs="Helvetica"/>
              </w:rPr>
              <w:t>reglamentados en</w:t>
            </w:r>
            <w:r w:rsidRPr="00743D96">
              <w:rPr>
                <w:rFonts w:ascii="Helvetica" w:hAnsi="Helvetica" w:cs="Helvetica"/>
              </w:rPr>
              <w:t xml:space="preserve"> la Ley 489 de 1998</w:t>
            </w:r>
            <w:r>
              <w:rPr>
                <w:rFonts w:ascii="Helvetica" w:hAnsi="Helvetica" w:cs="Helvetica"/>
              </w:rPr>
              <w:t>, y su</w:t>
            </w:r>
            <w:r w:rsidRPr="00743D96">
              <w:rPr>
                <w:rFonts w:ascii="Helvetica" w:hAnsi="Helvetica" w:cs="Helvetica"/>
              </w:rPr>
              <w:t xml:space="preserve"> articula</w:t>
            </w:r>
            <w:r>
              <w:rPr>
                <w:rFonts w:ascii="Helvetica" w:hAnsi="Helvetica" w:cs="Helvetica"/>
              </w:rPr>
              <w:t>ción</w:t>
            </w:r>
            <w:r w:rsidRPr="00743D96">
              <w:rPr>
                <w:rFonts w:ascii="Helvetica" w:hAnsi="Helvetica" w:cs="Helvetica"/>
              </w:rPr>
              <w:t xml:space="preserve"> con los Sistemas Nacional e Institucional de Control Interno consagrado en la Ley 87 de 1993 y en los artículos 27 al 29 de la Ley 489 de 1998, </w:t>
            </w:r>
            <w:r>
              <w:rPr>
                <w:rFonts w:ascii="Helvetica" w:hAnsi="Helvetica" w:cs="Helvetica"/>
              </w:rPr>
              <w:t xml:space="preserve">con el propósito de </w:t>
            </w:r>
            <w:r w:rsidRPr="00743D96">
              <w:rPr>
                <w:rFonts w:ascii="Helvetica" w:hAnsi="Helvetica" w:cs="Helvetica"/>
              </w:rPr>
              <w:t>fortalec</w:t>
            </w:r>
            <w:r>
              <w:rPr>
                <w:rFonts w:ascii="Helvetica" w:hAnsi="Helvetica" w:cs="Helvetica"/>
              </w:rPr>
              <w:t xml:space="preserve">er </w:t>
            </w:r>
            <w:r w:rsidRPr="00743D96">
              <w:rPr>
                <w:rFonts w:ascii="Helvetica" w:hAnsi="Helvetica" w:cs="Helvetica"/>
              </w:rPr>
              <w:t>los mecanismos, métodos y procedimientos de control al interior de los organismos y entidades del Estado</w:t>
            </w:r>
            <w:r>
              <w:rPr>
                <w:rFonts w:ascii="Helvetica" w:hAnsi="Helvetica" w:cs="Helvetica"/>
              </w:rPr>
              <w:t xml:space="preserve">, mediante el </w:t>
            </w:r>
            <w:r w:rsidR="00301804" w:rsidRPr="00301804">
              <w:rPr>
                <w:rFonts w:ascii="Helvetica" w:hAnsi="Helvetica" w:cs="Helvetica"/>
              </w:rPr>
              <w:t>Decreto 648 de 2017, se introdujeron ajustes importantes en lo concerniente a la</w:t>
            </w:r>
            <w:r w:rsidR="00180D49">
              <w:rPr>
                <w:rFonts w:ascii="Helvetica" w:hAnsi="Helvetica" w:cs="Helvetica"/>
              </w:rPr>
              <w:t xml:space="preserve"> Interinstitucionalidad e institucionalidad para la operación del Sistema Nacional e Institucional de Control Interno, donde se precisaron los integrantes y </w:t>
            </w:r>
            <w:r w:rsidR="00180D49" w:rsidRPr="00301804">
              <w:rPr>
                <w:rFonts w:ascii="Helvetica" w:hAnsi="Helvetica" w:cs="Helvetica"/>
              </w:rPr>
              <w:t>funcionamiento</w:t>
            </w:r>
            <w:r w:rsidR="00180D49">
              <w:rPr>
                <w:rFonts w:ascii="Helvetica" w:hAnsi="Helvetica" w:cs="Helvetica"/>
              </w:rPr>
              <w:t xml:space="preserve"> de los Comités Sectoriales, Departamentales, Municipales y Distritales de Auditoría Interna, así como frente a los miembros y funciones d</w:t>
            </w:r>
            <w:r w:rsidR="00301804" w:rsidRPr="00301804">
              <w:rPr>
                <w:rFonts w:ascii="Helvetica" w:hAnsi="Helvetica" w:cs="Helvetica"/>
              </w:rPr>
              <w:t>el Comité Institucional de Coordinación de Control Interno</w:t>
            </w:r>
            <w:r w:rsidR="00180D49">
              <w:rPr>
                <w:rFonts w:ascii="Helvetica" w:hAnsi="Helvetica" w:cs="Helvetica"/>
              </w:rPr>
              <w:t>; los</w:t>
            </w:r>
            <w:r w:rsidR="00CD173C">
              <w:rPr>
                <w:rFonts w:ascii="Helvetica" w:hAnsi="Helvetica" w:cs="Helvetica"/>
              </w:rPr>
              <w:t xml:space="preserve"> roles </w:t>
            </w:r>
            <w:r w:rsidR="00301804" w:rsidRPr="00301804">
              <w:rPr>
                <w:rFonts w:ascii="Helvetica" w:hAnsi="Helvetica" w:cs="Helvetica"/>
              </w:rPr>
              <w:t xml:space="preserve"> </w:t>
            </w:r>
            <w:r w:rsidR="00CD173C" w:rsidRPr="00301804">
              <w:rPr>
                <w:rFonts w:ascii="Helvetica" w:hAnsi="Helvetica" w:cs="Helvetica"/>
              </w:rPr>
              <w:t xml:space="preserve">de las Oficinas de Control Interno </w:t>
            </w:r>
            <w:r w:rsidR="00CD173C">
              <w:rPr>
                <w:rFonts w:ascii="Helvetica" w:hAnsi="Helvetica" w:cs="Helvetica"/>
              </w:rPr>
              <w:t xml:space="preserve">en cumplimiento de las </w:t>
            </w:r>
            <w:r w:rsidR="00301804" w:rsidRPr="00301804">
              <w:rPr>
                <w:rFonts w:ascii="Helvetica" w:hAnsi="Helvetica" w:cs="Helvetica"/>
              </w:rPr>
              <w:t>funciones</w:t>
            </w:r>
            <w:r w:rsidR="00CD173C">
              <w:rPr>
                <w:rFonts w:ascii="Helvetica" w:hAnsi="Helvetica" w:cs="Helvetica"/>
              </w:rPr>
              <w:t xml:space="preserve"> para estas instancias</w:t>
            </w:r>
            <w:r>
              <w:rPr>
                <w:rFonts w:ascii="Helvetica" w:hAnsi="Helvetica" w:cs="Helvetica"/>
              </w:rPr>
              <w:t>,</w:t>
            </w:r>
            <w:r w:rsidR="00CD173C">
              <w:rPr>
                <w:rFonts w:ascii="Helvetica" w:hAnsi="Helvetica" w:cs="Helvetica"/>
              </w:rPr>
              <w:t xml:space="preserve"> definidas en el artículo 12 de la Ley 87 de 1993</w:t>
            </w:r>
            <w:r>
              <w:rPr>
                <w:rFonts w:ascii="Helvetica" w:hAnsi="Helvetica" w:cs="Helvetica"/>
              </w:rPr>
              <w:t>,</w:t>
            </w:r>
            <w:r w:rsidR="00CD173C">
              <w:rPr>
                <w:rFonts w:ascii="Helvetica" w:hAnsi="Helvetica" w:cs="Helvetica"/>
              </w:rPr>
              <w:t xml:space="preserve"> </w:t>
            </w:r>
            <w:r w:rsidR="00301804" w:rsidRPr="00301804">
              <w:rPr>
                <w:rFonts w:ascii="Helvetica" w:hAnsi="Helvetica" w:cs="Helvetica"/>
              </w:rPr>
              <w:t xml:space="preserve">la </w:t>
            </w:r>
            <w:r w:rsidR="00CD173C">
              <w:rPr>
                <w:rFonts w:ascii="Helvetica" w:hAnsi="Helvetica" w:cs="Helvetica"/>
              </w:rPr>
              <w:t>definición de informes clave bajo su responsabilidad, así como su relacionamiento estratégico y funcional de los Jefes de Control Interno, dada su nominación en cabeza del Sr. Presidente de la República en las entidades de la Rama Ejecutiva del orden nacional; y en Gobernadores y Alcaldes en las entidades de la Rama Ejecutiva del orden territorial, lo que les exige mejorar su competencias y técnicas para aplicables en materia de auditoría interna, como mecanismo esencial de su labor</w:t>
            </w:r>
            <w:r w:rsidR="00301804" w:rsidRPr="00301804">
              <w:rPr>
                <w:rFonts w:ascii="Helvetica" w:hAnsi="Helvetica" w:cs="Helvetica"/>
              </w:rPr>
              <w:t>,</w:t>
            </w:r>
            <w:r w:rsidR="00CD173C">
              <w:rPr>
                <w:rFonts w:ascii="Helvetica" w:hAnsi="Helvetica" w:cs="Helvetica"/>
              </w:rPr>
              <w:t xml:space="preserve"> razón por la cual se incluyeron una serie de instrumentos mínimos para su adopción</w:t>
            </w:r>
            <w:r w:rsidR="00637E94">
              <w:rPr>
                <w:rFonts w:ascii="Helvetica" w:hAnsi="Helvetica" w:cs="Helvetica"/>
              </w:rPr>
              <w:t>, basados en normas y estándares internacionales</w:t>
            </w:r>
            <w:r w:rsidR="00854E0E">
              <w:rPr>
                <w:rFonts w:ascii="Helvetica" w:hAnsi="Helvetica" w:cs="Helvetica"/>
              </w:rPr>
              <w:t>.</w:t>
            </w:r>
          </w:p>
          <w:p w14:paraId="62050FFA" w14:textId="77777777" w:rsidR="00854E0E" w:rsidRDefault="00854E0E" w:rsidP="00301804">
            <w:pPr>
              <w:jc w:val="both"/>
              <w:rPr>
                <w:rFonts w:ascii="Helvetica" w:hAnsi="Helvetica" w:cs="Helvetica"/>
              </w:rPr>
            </w:pPr>
          </w:p>
          <w:p w14:paraId="56842E2E" w14:textId="7D779680" w:rsidR="00637E94" w:rsidRDefault="00854E0E" w:rsidP="00301804">
            <w:pPr>
              <w:jc w:val="both"/>
              <w:rPr>
                <w:rFonts w:ascii="Helvetica" w:hAnsi="Helvetica" w:cs="Helvetica"/>
              </w:rPr>
            </w:pPr>
            <w:r>
              <w:rPr>
                <w:rFonts w:ascii="Helvetica" w:hAnsi="Helvetica" w:cs="Helvetica"/>
              </w:rPr>
              <w:t>To</w:t>
            </w:r>
            <w:r w:rsidR="00637E94">
              <w:rPr>
                <w:rFonts w:ascii="Helvetica" w:hAnsi="Helvetica" w:cs="Helvetica"/>
              </w:rPr>
              <w:t>dos estos requerimientos incorporados</w:t>
            </w:r>
            <w:r>
              <w:rPr>
                <w:rFonts w:ascii="Helvetica" w:hAnsi="Helvetica" w:cs="Helvetica"/>
              </w:rPr>
              <w:t xml:space="preserve"> y definición de lineamientos e instrumentos de aplicación</w:t>
            </w:r>
            <w:r w:rsidR="00637E94">
              <w:rPr>
                <w:rFonts w:ascii="Helvetica" w:hAnsi="Helvetica" w:cs="Helvetica"/>
              </w:rPr>
              <w:t>, se constituyen en</w:t>
            </w:r>
            <w:r w:rsidR="00301804" w:rsidRPr="00301804">
              <w:rPr>
                <w:rFonts w:ascii="Helvetica" w:hAnsi="Helvetica" w:cs="Helvetica"/>
              </w:rPr>
              <w:t xml:space="preserve"> aspectos clave</w:t>
            </w:r>
            <w:r w:rsidR="00637E94">
              <w:rPr>
                <w:rFonts w:ascii="Helvetica" w:hAnsi="Helvetica" w:cs="Helvetica"/>
              </w:rPr>
              <w:t xml:space="preserve"> para mejorar la interacción entre la Alta Dirección de las entidades públicas, las Oficinas de Control Interno y los organismos de control, instancias que conforman el control multinivel para el Estado Colombiano</w:t>
            </w:r>
            <w:r w:rsidR="00301804" w:rsidRPr="00301804">
              <w:rPr>
                <w:rFonts w:ascii="Helvetica" w:hAnsi="Helvetica" w:cs="Helvetica"/>
              </w:rPr>
              <w:t xml:space="preserve">. </w:t>
            </w:r>
          </w:p>
          <w:p w14:paraId="34DE5B4B" w14:textId="77777777" w:rsidR="00637E94" w:rsidRDefault="00637E94" w:rsidP="00301804">
            <w:pPr>
              <w:jc w:val="both"/>
              <w:rPr>
                <w:rFonts w:ascii="Helvetica" w:hAnsi="Helvetica" w:cs="Helvetica"/>
              </w:rPr>
            </w:pPr>
          </w:p>
          <w:p w14:paraId="592B4B27" w14:textId="0749F528" w:rsidR="006A585C" w:rsidRDefault="00301804" w:rsidP="00301804">
            <w:pPr>
              <w:jc w:val="both"/>
              <w:rPr>
                <w:rFonts w:ascii="Helvetica" w:hAnsi="Helvetica" w:cs="Helvetica"/>
              </w:rPr>
            </w:pPr>
            <w:r w:rsidRPr="00301804">
              <w:rPr>
                <w:rFonts w:ascii="Helvetica" w:hAnsi="Helvetica" w:cs="Helvetica"/>
              </w:rPr>
              <w:t xml:space="preserve">Este decreto </w:t>
            </w:r>
            <w:r w:rsidR="00637E94">
              <w:rPr>
                <w:rFonts w:ascii="Helvetica" w:hAnsi="Helvetica" w:cs="Helvetica"/>
              </w:rPr>
              <w:t xml:space="preserve">que </w:t>
            </w:r>
            <w:r w:rsidRPr="00301804">
              <w:rPr>
                <w:rFonts w:ascii="Helvetica" w:hAnsi="Helvetica" w:cs="Helvetica"/>
              </w:rPr>
              <w:t>representó un avance significativo al clarificar roles y responsabilidades, promoviendo una cultura de evaluación y mejoramiento continuo</w:t>
            </w:r>
            <w:r w:rsidR="00637E94">
              <w:rPr>
                <w:rFonts w:ascii="Helvetica" w:hAnsi="Helvetica" w:cs="Helvetica"/>
              </w:rPr>
              <w:t>, sus modificaciones</w:t>
            </w:r>
            <w:r w:rsidRPr="00301804">
              <w:rPr>
                <w:rFonts w:ascii="Helvetica" w:hAnsi="Helvetica" w:cs="Helvetica"/>
              </w:rPr>
              <w:t>, aunque robusta</w:t>
            </w:r>
            <w:r w:rsidR="00637E94">
              <w:rPr>
                <w:rFonts w:ascii="Helvetica" w:hAnsi="Helvetica" w:cs="Helvetica"/>
              </w:rPr>
              <w:t>s</w:t>
            </w:r>
            <w:r w:rsidRPr="00301804">
              <w:rPr>
                <w:rFonts w:ascii="Helvetica" w:hAnsi="Helvetica" w:cs="Helvetica"/>
              </w:rPr>
              <w:t xml:space="preserve"> en su momento, resultó ser una aproximación inicial al fortalecimiento integral del Sistema </w:t>
            </w:r>
            <w:r w:rsidR="00637E94">
              <w:rPr>
                <w:rFonts w:ascii="Helvetica" w:hAnsi="Helvetica" w:cs="Helvetica"/>
              </w:rPr>
              <w:t xml:space="preserve">Nacional e Institucional </w:t>
            </w:r>
            <w:r w:rsidRPr="00301804">
              <w:rPr>
                <w:rFonts w:ascii="Helvetica" w:hAnsi="Helvetica" w:cs="Helvetica"/>
              </w:rPr>
              <w:t>de Control Interno</w:t>
            </w:r>
            <w:r w:rsidR="00637E94">
              <w:rPr>
                <w:rFonts w:ascii="Helvetica" w:hAnsi="Helvetica" w:cs="Helvetica"/>
              </w:rPr>
              <w:t>, por lo que, e</w:t>
            </w:r>
            <w:r w:rsidRPr="00301804">
              <w:rPr>
                <w:rFonts w:ascii="Helvetica" w:hAnsi="Helvetica" w:cs="Helvetica"/>
              </w:rPr>
              <w:t xml:space="preserve">l Departamento Administrativo de la Función Pública, ha identificado brechas en la </w:t>
            </w:r>
            <w:r w:rsidR="001E1DBB">
              <w:rPr>
                <w:rFonts w:ascii="Helvetica" w:hAnsi="Helvetica" w:cs="Helvetica"/>
              </w:rPr>
              <w:t>implementación efectiva</w:t>
            </w:r>
            <w:r w:rsidRPr="00301804">
              <w:rPr>
                <w:rFonts w:ascii="Helvetica" w:hAnsi="Helvetica" w:cs="Helvetica"/>
              </w:rPr>
              <w:t xml:space="preserve"> de </w:t>
            </w:r>
            <w:r w:rsidR="001E1DBB">
              <w:rPr>
                <w:rFonts w:ascii="Helvetica" w:hAnsi="Helvetica" w:cs="Helvetica"/>
              </w:rPr>
              <w:t>algunos de sus</w:t>
            </w:r>
            <w:r w:rsidRPr="00301804">
              <w:rPr>
                <w:rFonts w:ascii="Helvetica" w:hAnsi="Helvetica" w:cs="Helvetica"/>
              </w:rPr>
              <w:t xml:space="preserve"> lineamientos</w:t>
            </w:r>
            <w:r w:rsidR="006A585C">
              <w:rPr>
                <w:rFonts w:ascii="Helvetica" w:hAnsi="Helvetica" w:cs="Helvetica"/>
              </w:rPr>
              <w:t>, y se plantea la</w:t>
            </w:r>
            <w:r w:rsidRPr="00301804">
              <w:rPr>
                <w:rFonts w:ascii="Helvetica" w:hAnsi="Helvetica" w:cs="Helvetica"/>
              </w:rPr>
              <w:t xml:space="preserve"> necesidad de precisar los alcances técnicos y estratégicos </w:t>
            </w:r>
            <w:r w:rsidR="006A585C">
              <w:rPr>
                <w:rFonts w:ascii="Helvetica" w:hAnsi="Helvetica" w:cs="Helvetica"/>
              </w:rPr>
              <w:t xml:space="preserve">en cuanto al funcionamiento de la institucionalidad e incorporación de nuevos instrumentos técnicos, de conformidad con la actualización de las normas y estándares internacionales en materia de auditoría interna, así </w:t>
            </w:r>
            <w:r w:rsidR="00BE2570">
              <w:rPr>
                <w:rFonts w:ascii="Helvetica" w:hAnsi="Helvetica" w:cs="Helvetica"/>
              </w:rPr>
              <w:t>como para atender los</w:t>
            </w:r>
            <w:r w:rsidR="006A585C">
              <w:rPr>
                <w:rFonts w:ascii="Helvetica" w:hAnsi="Helvetica" w:cs="Helvetica"/>
              </w:rPr>
              <w:t xml:space="preserve"> desarrollo</w:t>
            </w:r>
            <w:r w:rsidR="00BE2570">
              <w:rPr>
                <w:rFonts w:ascii="Helvetica" w:hAnsi="Helvetica" w:cs="Helvetica"/>
              </w:rPr>
              <w:t>s</w:t>
            </w:r>
            <w:r w:rsidR="006A585C">
              <w:rPr>
                <w:rFonts w:ascii="Helvetica" w:hAnsi="Helvetica" w:cs="Helvetica"/>
              </w:rPr>
              <w:t xml:space="preserve"> de la actualización al Modelo Integrado de Planeación y Gestión MIPG que involucra la introducción de lineamientos a la política de control interno con un enfoque basado en riesgos y con criterios diferenciales que faciliten su implementación en las entidades objeto de la Ley 87 de 1993</w:t>
            </w:r>
            <w:r w:rsidRPr="00301804">
              <w:rPr>
                <w:rFonts w:ascii="Helvetica" w:hAnsi="Helvetica" w:cs="Helvetica"/>
              </w:rPr>
              <w:t>.</w:t>
            </w:r>
          </w:p>
          <w:p w14:paraId="258F6C2D" w14:textId="77777777" w:rsidR="006A585C" w:rsidRDefault="006A585C" w:rsidP="00301804">
            <w:pPr>
              <w:jc w:val="both"/>
              <w:rPr>
                <w:rFonts w:ascii="Helvetica" w:hAnsi="Helvetica" w:cs="Helvetica"/>
              </w:rPr>
            </w:pPr>
          </w:p>
          <w:p w14:paraId="29D2C881" w14:textId="35C64BD4" w:rsidR="00E815F7" w:rsidRDefault="0024072C" w:rsidP="00301804">
            <w:pPr>
              <w:jc w:val="both"/>
              <w:rPr>
                <w:rFonts w:ascii="Helvetica" w:hAnsi="Helvetica" w:cs="Helvetica"/>
              </w:rPr>
            </w:pPr>
            <w:r w:rsidRPr="00C63E3D">
              <w:rPr>
                <w:rFonts w:ascii="Helvetica" w:hAnsi="Helvetica" w:cs="Helvetica"/>
              </w:rPr>
              <w:t>Específicamente, se hace necesario precisar los integrantes y funciones para los</w:t>
            </w:r>
            <w:r w:rsidR="00301804" w:rsidRPr="00C63E3D">
              <w:rPr>
                <w:rFonts w:ascii="Helvetica" w:hAnsi="Helvetica" w:cs="Helvetica"/>
              </w:rPr>
              <w:t xml:space="preserve"> Comités</w:t>
            </w:r>
            <w:r w:rsidR="004528F1" w:rsidRPr="00C63E3D">
              <w:rPr>
                <w:rFonts w:ascii="Helvetica" w:hAnsi="Helvetica" w:cs="Helvetica"/>
              </w:rPr>
              <w:t xml:space="preserve"> Institucionales</w:t>
            </w:r>
            <w:r w:rsidR="00301804" w:rsidRPr="00C63E3D">
              <w:rPr>
                <w:rFonts w:ascii="Helvetica" w:hAnsi="Helvetica" w:cs="Helvetica"/>
              </w:rPr>
              <w:t xml:space="preserve"> de Coordinación de Control Interno</w:t>
            </w:r>
            <w:r w:rsidR="004528F1" w:rsidRPr="00C63E3D">
              <w:rPr>
                <w:rFonts w:ascii="Helvetica" w:hAnsi="Helvetica" w:cs="Helvetica"/>
              </w:rPr>
              <w:t>,</w:t>
            </w:r>
            <w:r w:rsidR="00301804" w:rsidRPr="00C63E3D">
              <w:rPr>
                <w:rFonts w:ascii="Helvetica" w:hAnsi="Helvetica" w:cs="Helvetica"/>
              </w:rPr>
              <w:t xml:space="preserve"> </w:t>
            </w:r>
            <w:r w:rsidR="00752D7F" w:rsidRPr="00C63E3D">
              <w:rPr>
                <w:rFonts w:ascii="Helvetica" w:hAnsi="Helvetica" w:cs="Helvetica"/>
              </w:rPr>
              <w:t>ya que, e</w:t>
            </w:r>
            <w:r w:rsidR="004528F1" w:rsidRPr="00C63E3D">
              <w:rPr>
                <w:rFonts w:ascii="Helvetica" w:hAnsi="Helvetica" w:cs="Helvetica"/>
              </w:rPr>
              <w:t>n la práctica, estos comités han sido subutilizados o limitados a</w:t>
            </w:r>
            <w:r w:rsidR="00E815F7" w:rsidRPr="00C63E3D">
              <w:rPr>
                <w:rFonts w:ascii="Helvetica" w:hAnsi="Helvetica" w:cs="Helvetica"/>
              </w:rPr>
              <w:t xml:space="preserve"> las</w:t>
            </w:r>
            <w:r w:rsidR="004528F1" w:rsidRPr="00C63E3D">
              <w:rPr>
                <w:rFonts w:ascii="Helvetica" w:hAnsi="Helvetica" w:cs="Helvetica"/>
              </w:rPr>
              <w:t xml:space="preserve"> funciones </w:t>
            </w:r>
            <w:r w:rsidR="00E815F7" w:rsidRPr="00C63E3D">
              <w:rPr>
                <w:rFonts w:ascii="Helvetica" w:hAnsi="Helvetica" w:cs="Helvetica"/>
              </w:rPr>
              <w:t>de aprobación</w:t>
            </w:r>
            <w:r w:rsidR="004528F1" w:rsidRPr="00C63E3D">
              <w:rPr>
                <w:rFonts w:ascii="Helvetica" w:hAnsi="Helvetica" w:cs="Helvetica"/>
              </w:rPr>
              <w:t>,</w:t>
            </w:r>
            <w:r w:rsidR="00E815F7" w:rsidRPr="00C63E3D">
              <w:rPr>
                <w:rFonts w:ascii="Helvetica" w:hAnsi="Helvetica" w:cs="Helvetica"/>
              </w:rPr>
              <w:t xml:space="preserve"> revisión de informes y otros temas propuestos por los Jefes de Control Interno,</w:t>
            </w:r>
            <w:r w:rsidR="004528F1" w:rsidRPr="00C63E3D">
              <w:rPr>
                <w:rFonts w:ascii="Helvetica" w:hAnsi="Helvetica" w:cs="Helvetica"/>
              </w:rPr>
              <w:t xml:space="preserve"> cuando su verdadero potencial es el de </w:t>
            </w:r>
            <w:r w:rsidR="00E815F7" w:rsidRPr="00C63E3D">
              <w:rPr>
                <w:rFonts w:ascii="Helvetica" w:hAnsi="Helvetica" w:cs="Helvetica"/>
              </w:rPr>
              <w:t>convertirse en</w:t>
            </w:r>
            <w:r w:rsidR="004528F1" w:rsidRPr="00C63E3D">
              <w:rPr>
                <w:rFonts w:ascii="Helvetica" w:hAnsi="Helvetica" w:cs="Helvetica"/>
              </w:rPr>
              <w:t xml:space="preserve"> espacios estratégicos de dirección y para la gestión preventiva de riesgos que pueden afectar </w:t>
            </w:r>
            <w:r w:rsidR="00D27D64" w:rsidRPr="00C63E3D">
              <w:rPr>
                <w:rFonts w:ascii="Helvetica" w:hAnsi="Helvetica" w:cs="Helvetica"/>
              </w:rPr>
              <w:t>la operación</w:t>
            </w:r>
            <w:r w:rsidR="004528F1" w:rsidRPr="00C63E3D">
              <w:rPr>
                <w:rFonts w:ascii="Helvetica" w:hAnsi="Helvetica" w:cs="Helvetica"/>
              </w:rPr>
              <w:t>, los recursos y la prestación de servicios a l</w:t>
            </w:r>
            <w:r w:rsidR="00D27D64" w:rsidRPr="00C63E3D">
              <w:rPr>
                <w:rFonts w:ascii="Helvetica" w:hAnsi="Helvetica" w:cs="Helvetica"/>
              </w:rPr>
              <w:t>o</w:t>
            </w:r>
            <w:r w:rsidR="004528F1" w:rsidRPr="00C63E3D">
              <w:rPr>
                <w:rFonts w:ascii="Helvetica" w:hAnsi="Helvetica" w:cs="Helvetica"/>
              </w:rPr>
              <w:t>s ciudadan</w:t>
            </w:r>
            <w:r w:rsidR="00D27D64" w:rsidRPr="00C63E3D">
              <w:rPr>
                <w:rFonts w:ascii="Helvetica" w:hAnsi="Helvetica" w:cs="Helvetica"/>
              </w:rPr>
              <w:t>os</w:t>
            </w:r>
            <w:r w:rsidR="004528F1" w:rsidRPr="00C63E3D">
              <w:rPr>
                <w:rFonts w:ascii="Helvetica" w:hAnsi="Helvetica" w:cs="Helvetica"/>
              </w:rPr>
              <w:t>. Por ello, se propone cambiar su composición, clarificar sus competencias y establecer la obligación de generar insumos de alto valor agregado, como informes analíticos que integren hallazgos relevantes, recomendaciones prospectivas, alertas de riesgo y propuestas de mejora institucional</w:t>
            </w:r>
            <w:r w:rsidR="00D27D64" w:rsidRPr="00C63E3D">
              <w:rPr>
                <w:rFonts w:ascii="Helvetica" w:hAnsi="Helvetica" w:cs="Helvetica"/>
              </w:rPr>
              <w:t>, y que en desarrollo del esquema de líneas se incorporen los análisis y seguimientos que deben aplicar instancias transversales y estratégicas, como sería las oficinas asesoras de planeación, secretarios generales, líderes de contratación, financiera, contable, así como responsables de procesos misionales que garanticen un monitoreo integral de la gestión.</w:t>
            </w:r>
            <w:r w:rsidR="00E815F7" w:rsidRPr="221773A6">
              <w:rPr>
                <w:rFonts w:ascii="Helvetica" w:hAnsi="Helvetica" w:cs="Helvetica"/>
              </w:rPr>
              <w:t xml:space="preserve"> </w:t>
            </w:r>
          </w:p>
          <w:p w14:paraId="685ACE7E" w14:textId="77777777" w:rsidR="00E815F7" w:rsidRDefault="00E815F7" w:rsidP="00301804">
            <w:pPr>
              <w:jc w:val="both"/>
              <w:rPr>
                <w:rFonts w:ascii="Helvetica" w:hAnsi="Helvetica" w:cs="Helvetica"/>
              </w:rPr>
            </w:pPr>
          </w:p>
          <w:p w14:paraId="6BA4E2A1" w14:textId="362EE756" w:rsidR="00301804" w:rsidRDefault="00301804" w:rsidP="00301804">
            <w:pPr>
              <w:jc w:val="both"/>
              <w:rPr>
                <w:rFonts w:ascii="Helvetica" w:hAnsi="Helvetica" w:cs="Helvetica"/>
              </w:rPr>
            </w:pPr>
            <w:r w:rsidRPr="00301804">
              <w:rPr>
                <w:rFonts w:ascii="Helvetica" w:hAnsi="Helvetica" w:cs="Helvetica"/>
              </w:rPr>
              <w:t>Además, la evolución normativa y conceptual del Modelo Integrado de Planeación y Gestión (MIPG) ha demandado una actualización normativa que supere la perspectiva procedimental del Decreto 648 de 2017, y posicione al control interno como un eje articulador de valor público</w:t>
            </w:r>
            <w:r w:rsidR="006A585C">
              <w:rPr>
                <w:rFonts w:ascii="Helvetica" w:hAnsi="Helvetica" w:cs="Helvetica"/>
              </w:rPr>
              <w:t>.</w:t>
            </w:r>
            <w:r w:rsidR="00E815F7">
              <w:rPr>
                <w:rFonts w:ascii="Helvetica" w:hAnsi="Helvetica" w:cs="Helvetica"/>
              </w:rPr>
              <w:t xml:space="preserve"> </w:t>
            </w:r>
            <w:r w:rsidRPr="00301804">
              <w:rPr>
                <w:rFonts w:ascii="Helvetica" w:hAnsi="Helvetica" w:cs="Helvetica"/>
              </w:rPr>
              <w:t>Esta actualización</w:t>
            </w:r>
            <w:r w:rsidR="006A585C">
              <w:rPr>
                <w:rFonts w:ascii="Helvetica" w:hAnsi="Helvetica" w:cs="Helvetica"/>
              </w:rPr>
              <w:t xml:space="preserve"> del </w:t>
            </w:r>
            <w:r w:rsidR="006A585C" w:rsidRPr="00301804">
              <w:rPr>
                <w:rFonts w:ascii="Helvetica" w:hAnsi="Helvetica" w:cs="Helvetica"/>
              </w:rPr>
              <w:t>Modelo Integrado de Planeación y Gestión (MIPG)</w:t>
            </w:r>
            <w:r w:rsidR="006A585C">
              <w:rPr>
                <w:rFonts w:ascii="Helvetica" w:hAnsi="Helvetica" w:cs="Helvetica"/>
              </w:rPr>
              <w:t xml:space="preserve"> </w:t>
            </w:r>
            <w:r w:rsidRPr="00301804">
              <w:rPr>
                <w:rFonts w:ascii="Helvetica" w:hAnsi="Helvetica" w:cs="Helvetica"/>
              </w:rPr>
              <w:t xml:space="preserve">responde a los retos </w:t>
            </w:r>
            <w:r>
              <w:rPr>
                <w:rFonts w:ascii="Helvetica" w:hAnsi="Helvetica" w:cs="Helvetica"/>
              </w:rPr>
              <w:t>actuales</w:t>
            </w:r>
            <w:r w:rsidRPr="00301804">
              <w:rPr>
                <w:rFonts w:ascii="Helvetica" w:hAnsi="Helvetica" w:cs="Helvetica"/>
              </w:rPr>
              <w:t xml:space="preserve"> de gobernanza y gestión pública, como la necesidad de generar valor público, anticipar riesgos, promover decisiones informadas con base en datos y fortalecer la confianza ciudadana en las instituciones. Así, el MIPG reorganiza los pilares de gestión institucional en torno a una visión sistémica que articula capacidades organizacionales con políticas públicas y resultados efectivos.</w:t>
            </w:r>
            <w:r>
              <w:rPr>
                <w:rFonts w:ascii="Helvetica" w:hAnsi="Helvetica" w:cs="Helvetica"/>
              </w:rPr>
              <w:t xml:space="preserve"> </w:t>
            </w:r>
            <w:r w:rsidRPr="00301804">
              <w:rPr>
                <w:rFonts w:ascii="Helvetica" w:hAnsi="Helvetica" w:cs="Helvetica"/>
              </w:rPr>
              <w:t>En este contexto, el Sistema de Control Interno debe evolucionar hacia un rol más estratégico, superando su función tradicional de verificación y cumplimiento</w:t>
            </w:r>
            <w:r w:rsidR="00D766C5">
              <w:rPr>
                <w:rFonts w:ascii="Helvetica" w:hAnsi="Helvetica" w:cs="Helvetica"/>
              </w:rPr>
              <w:t>,</w:t>
            </w:r>
            <w:r w:rsidR="00D27D64">
              <w:rPr>
                <w:rFonts w:ascii="Helvetica" w:hAnsi="Helvetica" w:cs="Helvetica"/>
              </w:rPr>
              <w:t xml:space="preserve"> para </w:t>
            </w:r>
            <w:r w:rsidRPr="00301804">
              <w:rPr>
                <w:rFonts w:ascii="Helvetica" w:hAnsi="Helvetica" w:cs="Helvetica"/>
              </w:rPr>
              <w:t xml:space="preserve">convertirse en un mecanismo que facilite la evaluación y mejora continua de todos los componentes del modelo, apoye la trazabilidad de las decisiones institucionales, identifique puntos críticos en los procesos misionales y promueva la coherencia entre planificación, ejecución y evaluación. </w:t>
            </w:r>
          </w:p>
          <w:p w14:paraId="35C53AAD" w14:textId="77777777" w:rsidR="00301804" w:rsidRPr="00301804" w:rsidRDefault="00301804" w:rsidP="00301804">
            <w:pPr>
              <w:jc w:val="both"/>
              <w:rPr>
                <w:rFonts w:ascii="Helvetica" w:hAnsi="Helvetica" w:cs="Helvetica"/>
              </w:rPr>
            </w:pPr>
          </w:p>
          <w:p w14:paraId="2F973393" w14:textId="3917F1D1" w:rsidR="00301804" w:rsidRDefault="00301804" w:rsidP="00301804">
            <w:pPr>
              <w:jc w:val="both"/>
              <w:rPr>
                <w:rFonts w:ascii="Helvetica" w:hAnsi="Helvetica" w:cs="Helvetica"/>
              </w:rPr>
            </w:pPr>
            <w:r w:rsidRPr="00301804">
              <w:rPr>
                <w:rFonts w:ascii="Helvetica" w:hAnsi="Helvetica" w:cs="Helvetica"/>
              </w:rPr>
              <w:t>En particular, la reforma normativa al Título 21 del Decreto 1083 de 2015 se justifica por la necesidad de incorporar enfoques actuales e innovadores de gestión pública,</w:t>
            </w:r>
            <w:r w:rsidR="00D766C5">
              <w:rPr>
                <w:rFonts w:ascii="Helvetica" w:hAnsi="Helvetica" w:cs="Helvetica"/>
              </w:rPr>
              <w:t xml:space="preserve"> específicamente los modelos, esquemas y normas internacionales en materia de control interno y de auditoría interna.</w:t>
            </w:r>
            <w:r w:rsidRPr="00301804">
              <w:rPr>
                <w:rFonts w:ascii="Helvetica" w:hAnsi="Helvetica" w:cs="Helvetica"/>
              </w:rPr>
              <w:t xml:space="preserve"> </w:t>
            </w:r>
            <w:r w:rsidR="004B236C">
              <w:rPr>
                <w:rFonts w:ascii="Helvetica" w:hAnsi="Helvetica" w:cs="Helvetica"/>
              </w:rPr>
              <w:t xml:space="preserve">Al respecto, es pertinente señalar </w:t>
            </w:r>
            <w:r w:rsidR="005A7AC4">
              <w:rPr>
                <w:rFonts w:ascii="Helvetica" w:hAnsi="Helvetica" w:cs="Helvetica"/>
              </w:rPr>
              <w:t>que,</w:t>
            </w:r>
            <w:r w:rsidR="004B236C">
              <w:rPr>
                <w:rFonts w:ascii="Helvetica" w:hAnsi="Helvetica" w:cs="Helvetica"/>
              </w:rPr>
              <w:t xml:space="preserve"> en 2017 mediante la incorporación del modelo de las tres líneas de defensa, hoy denominado esquema de líneas</w:t>
            </w:r>
            <w:r w:rsidR="005A7AC4">
              <w:rPr>
                <w:rFonts w:ascii="Helvetica" w:hAnsi="Helvetica" w:cs="Helvetica"/>
              </w:rPr>
              <w:t xml:space="preserve">, teniendo en cuenta su actualización en 2020, así como las Normas Internacionales de Auditoria Interna actualizadas en 2024 y que entraron en aplicación en 2025, estas últimas </w:t>
            </w:r>
            <w:r w:rsidR="00D27D64">
              <w:rPr>
                <w:rFonts w:ascii="Helvetica" w:hAnsi="Helvetica" w:cs="Helvetica"/>
              </w:rPr>
              <w:t>base</w:t>
            </w:r>
            <w:r w:rsidR="005A7AC4">
              <w:rPr>
                <w:rFonts w:ascii="Helvetica" w:hAnsi="Helvetica" w:cs="Helvetica"/>
              </w:rPr>
              <w:t xml:space="preserve"> para</w:t>
            </w:r>
            <w:r w:rsidR="00D27D64">
              <w:rPr>
                <w:rFonts w:ascii="Helvetica" w:hAnsi="Helvetica" w:cs="Helvetica"/>
              </w:rPr>
              <w:t xml:space="preserve"> la operación de</w:t>
            </w:r>
            <w:r w:rsidR="005A7AC4">
              <w:rPr>
                <w:rFonts w:ascii="Helvetica" w:hAnsi="Helvetica" w:cs="Helvetica"/>
              </w:rPr>
              <w:t xml:space="preserve"> las Oficinas de Control Interno,</w:t>
            </w:r>
            <w:r w:rsidR="004B236C">
              <w:rPr>
                <w:rFonts w:ascii="Helvetica" w:hAnsi="Helvetica" w:cs="Helvetica"/>
              </w:rPr>
              <w:t xml:space="preserve"> </w:t>
            </w:r>
            <w:r w:rsidR="005A7AC4">
              <w:rPr>
                <w:rFonts w:ascii="Helvetica" w:hAnsi="Helvetica" w:cs="Helvetica"/>
              </w:rPr>
              <w:t>ambas estructuras promulgadas</w:t>
            </w:r>
            <w:r w:rsidR="004B236C">
              <w:rPr>
                <w:rFonts w:ascii="Helvetica" w:hAnsi="Helvetica" w:cs="Helvetica"/>
              </w:rPr>
              <w:t xml:space="preserve"> por el </w:t>
            </w:r>
            <w:r w:rsidR="005A7AC4" w:rsidRPr="005A7AC4">
              <w:rPr>
                <w:rFonts w:ascii="Helvetica" w:hAnsi="Helvetica" w:cs="Helvetica"/>
              </w:rPr>
              <w:t>Instituto de Auditoria Internos (IIA Global)</w:t>
            </w:r>
            <w:r w:rsidR="004B236C">
              <w:rPr>
                <w:rFonts w:ascii="Helvetica" w:hAnsi="Helvetica" w:cs="Helvetica"/>
              </w:rPr>
              <w:t>, organismo</w:t>
            </w:r>
            <w:r w:rsidR="005A7AC4">
              <w:t xml:space="preserve"> </w:t>
            </w:r>
            <w:r w:rsidR="005A7AC4" w:rsidRPr="005A7AC4">
              <w:rPr>
                <w:rFonts w:ascii="Helvetica" w:hAnsi="Helvetica" w:cs="Helvetica"/>
              </w:rPr>
              <w:t>confiable, global, que establece directrices</w:t>
            </w:r>
            <w:r w:rsidR="005A7AC4">
              <w:rPr>
                <w:rFonts w:ascii="Helvetica" w:hAnsi="Helvetica" w:cs="Helvetica"/>
              </w:rPr>
              <w:t>, normas en materia de auditoría interna</w:t>
            </w:r>
            <w:r w:rsidR="005A7AC4" w:rsidRPr="005A7AC4">
              <w:rPr>
                <w:rFonts w:ascii="Helvetica" w:hAnsi="Helvetica" w:cs="Helvetica"/>
              </w:rPr>
              <w:t xml:space="preserve"> y propone mejores prácticas </w:t>
            </w:r>
            <w:r w:rsidR="005A7AC4">
              <w:rPr>
                <w:rFonts w:ascii="Helvetica" w:hAnsi="Helvetica" w:cs="Helvetica"/>
              </w:rPr>
              <w:t>para la mejora de las estructuras de control interno, han permitido adoptar estos estándares internacionales ampliamente probados tanto en el sector privado como público, y que, con el desarrollo y avances que a la fecha han tenido las entidades públicas</w:t>
            </w:r>
            <w:r w:rsidR="00D27D64">
              <w:rPr>
                <w:rFonts w:ascii="Helvetica" w:hAnsi="Helvetica" w:cs="Helvetica"/>
              </w:rPr>
              <w:t>,</w:t>
            </w:r>
            <w:r w:rsidR="005A7AC4">
              <w:rPr>
                <w:rFonts w:ascii="Helvetica" w:hAnsi="Helvetica" w:cs="Helvetica"/>
              </w:rPr>
              <w:t xml:space="preserve"> se hace necesario actualizar la normatividad que ha permitido su</w:t>
            </w:r>
            <w:r w:rsidR="00D27D64">
              <w:rPr>
                <w:rFonts w:ascii="Helvetica" w:hAnsi="Helvetica" w:cs="Helvetica"/>
              </w:rPr>
              <w:t xml:space="preserve"> adopción e</w:t>
            </w:r>
            <w:r w:rsidR="005A7AC4">
              <w:rPr>
                <w:rFonts w:ascii="Helvetica" w:hAnsi="Helvetica" w:cs="Helvetica"/>
              </w:rPr>
              <w:t xml:space="preserve"> implementación en las entidades, de manera tal que los instrumentos, guías y herramientas que se vienen actualizando en alineación con dichas mejoras en los estándares que los respaldan, sea viable su aplicación efectiva</w:t>
            </w:r>
            <w:r w:rsidR="00D27D64">
              <w:rPr>
                <w:rFonts w:ascii="Helvetica" w:hAnsi="Helvetica" w:cs="Helvetica"/>
              </w:rPr>
              <w:t>, al estar reglamentadas.</w:t>
            </w:r>
          </w:p>
          <w:p w14:paraId="5C1A72FE" w14:textId="0E23D35E" w:rsidR="00D766C5" w:rsidRDefault="00D766C5" w:rsidP="00301804">
            <w:pPr>
              <w:jc w:val="both"/>
              <w:rPr>
                <w:rFonts w:ascii="Helvetica" w:hAnsi="Helvetica" w:cs="Helvetica"/>
              </w:rPr>
            </w:pPr>
          </w:p>
          <w:p w14:paraId="25801398" w14:textId="5F3F635C" w:rsidR="00D766C5" w:rsidRPr="00D766C5" w:rsidRDefault="00D766C5" w:rsidP="00D766C5">
            <w:pPr>
              <w:jc w:val="both"/>
              <w:rPr>
                <w:rFonts w:ascii="Helvetica" w:hAnsi="Helvetica" w:cs="Helvetica"/>
              </w:rPr>
            </w:pPr>
            <w:r w:rsidRPr="00D766C5">
              <w:rPr>
                <w:rFonts w:ascii="Helvetica" w:hAnsi="Helvetica" w:cs="Helvetica"/>
              </w:rPr>
              <w:t xml:space="preserve">Es pertinente </w:t>
            </w:r>
            <w:r w:rsidR="002B3FE9">
              <w:rPr>
                <w:rFonts w:ascii="Helvetica" w:hAnsi="Helvetica" w:cs="Helvetica"/>
              </w:rPr>
              <w:t>indicar</w:t>
            </w:r>
            <w:r w:rsidRPr="00D766C5">
              <w:rPr>
                <w:rFonts w:ascii="Helvetica" w:hAnsi="Helvetica" w:cs="Helvetica"/>
              </w:rPr>
              <w:t xml:space="preserve"> que</w:t>
            </w:r>
            <w:r w:rsidR="002B3FE9">
              <w:rPr>
                <w:rFonts w:ascii="Helvetica" w:hAnsi="Helvetica" w:cs="Helvetica"/>
              </w:rPr>
              <w:t>,</w:t>
            </w:r>
            <w:r w:rsidRPr="00D766C5">
              <w:rPr>
                <w:rFonts w:ascii="Helvetica" w:hAnsi="Helvetica" w:cs="Helvetica"/>
              </w:rPr>
              <w:t xml:space="preserve"> mediante la Ley 2294 de 2023 “Por el cual se expide el Plan Nacional de Desarrollo 2022-2026 “Colombia Potencia Mundial de la Vida””, en su artículo 200 establece que se diseñe la Estrategia Nacional de Lucha contra la Corrupción que deberá incluir dimensiones como la garantía de los derechos humanos, la protección al denunciante, el derecho al acceso a la información pública, el fortalecimiento de la veeduría ciudadana, la transparencia en la contratación y la gestión pública, la innovación pública y la implementación de mecanismos dirigidos a prevenir, detectar y gestionar riesgos asociados a tales fenómenos y sancionar hechos de corrupción bajo un enfoque sectorial.</w:t>
            </w:r>
          </w:p>
          <w:p w14:paraId="3D7C7D0B" w14:textId="77777777" w:rsidR="00D766C5" w:rsidRPr="00D766C5" w:rsidRDefault="00D766C5" w:rsidP="00D766C5">
            <w:pPr>
              <w:jc w:val="both"/>
              <w:rPr>
                <w:rFonts w:ascii="Helvetica" w:hAnsi="Helvetica" w:cs="Helvetica"/>
              </w:rPr>
            </w:pPr>
          </w:p>
          <w:p w14:paraId="0F707E57" w14:textId="239AFB64" w:rsidR="00D766C5" w:rsidRDefault="00D766C5" w:rsidP="00301804">
            <w:pPr>
              <w:jc w:val="both"/>
              <w:rPr>
                <w:rFonts w:ascii="Helvetica" w:hAnsi="Helvetica" w:cs="Helvetica"/>
              </w:rPr>
            </w:pPr>
            <w:r w:rsidRPr="00D766C5">
              <w:rPr>
                <w:rFonts w:ascii="Helvetica" w:hAnsi="Helvetica" w:cs="Helvetica"/>
              </w:rPr>
              <w:t xml:space="preserve">Esta Estrategia Nacional de Lucha contra la Corrupción liderada por la Secretaría de Transparencia, </w:t>
            </w:r>
            <w:r w:rsidR="002B3FE9">
              <w:rPr>
                <w:rFonts w:ascii="Helvetica" w:hAnsi="Helvetica" w:cs="Helvetica"/>
              </w:rPr>
              <w:t>como responsables</w:t>
            </w:r>
            <w:r w:rsidRPr="00D766C5">
              <w:rPr>
                <w:rFonts w:ascii="Helvetica" w:hAnsi="Helvetica" w:cs="Helvetica"/>
              </w:rPr>
              <w:t xml:space="preserve"> de la coordinación, elaboración y evaluación de la misma, y en tanto que</w:t>
            </w:r>
            <w:r w:rsidR="002B3FE9">
              <w:rPr>
                <w:rFonts w:ascii="Helvetica" w:hAnsi="Helvetica" w:cs="Helvetica"/>
              </w:rPr>
              <w:t xml:space="preserve">, en desarrollo de los </w:t>
            </w:r>
            <w:r w:rsidR="002B3FE9">
              <w:rPr>
                <w:rFonts w:ascii="Helvetica" w:hAnsi="Helvetica" w:cs="Helvetica"/>
              </w:rPr>
              <w:lastRenderedPageBreak/>
              <w:t>mecanismos</w:t>
            </w:r>
            <w:r w:rsidR="002B3FE9">
              <w:t xml:space="preserve"> </w:t>
            </w:r>
            <w:r w:rsidR="002B3FE9" w:rsidRPr="002B3FE9">
              <w:rPr>
                <w:rFonts w:ascii="Helvetica" w:hAnsi="Helvetica" w:cs="Helvetica"/>
              </w:rPr>
              <w:t xml:space="preserve">dirigidos a prevenir, detectar y gestionar riesgos </w:t>
            </w:r>
            <w:r w:rsidR="002B3FE9">
              <w:rPr>
                <w:rFonts w:ascii="Helvetica" w:hAnsi="Helvetica" w:cs="Helvetica"/>
              </w:rPr>
              <w:t>que afectan la Integridad Pública, se elaboró en conjunto con dicha entidad la Guía para la Gestión Integral de Riesgos versión 7, como instrumento para que las entidades den cumplimiento</w:t>
            </w:r>
            <w:r w:rsidRPr="00D766C5">
              <w:rPr>
                <w:rFonts w:ascii="Helvetica" w:hAnsi="Helvetica" w:cs="Helvetica"/>
              </w:rPr>
              <w:t xml:space="preserve"> </w:t>
            </w:r>
            <w:r w:rsidR="002B3FE9">
              <w:rPr>
                <w:rFonts w:ascii="Helvetica" w:hAnsi="Helvetica" w:cs="Helvetica"/>
              </w:rPr>
              <w:t xml:space="preserve">a tales propósitos en la lucha contra la corrupción, se hace necesario ampliar los alcances a las funciones del Comité Institucional de Coordinación de Control Interno para que se convierta en una instancia </w:t>
            </w:r>
            <w:r w:rsidR="004528F1">
              <w:rPr>
                <w:rFonts w:ascii="Helvetica" w:hAnsi="Helvetica" w:cs="Helvetica"/>
              </w:rPr>
              <w:t xml:space="preserve">de </w:t>
            </w:r>
            <w:r w:rsidR="004528F1" w:rsidRPr="004528F1">
              <w:rPr>
                <w:rFonts w:ascii="Helvetica" w:hAnsi="Helvetica" w:cs="Helvetica"/>
              </w:rPr>
              <w:t>carácter estratégico, encargad</w:t>
            </w:r>
            <w:r w:rsidR="004528F1">
              <w:rPr>
                <w:rFonts w:ascii="Helvetica" w:hAnsi="Helvetica" w:cs="Helvetica"/>
              </w:rPr>
              <w:t xml:space="preserve">a </w:t>
            </w:r>
            <w:r w:rsidR="004528F1" w:rsidRPr="004528F1">
              <w:rPr>
                <w:rFonts w:ascii="Helvetica" w:hAnsi="Helvetica" w:cs="Helvetica"/>
              </w:rPr>
              <w:t>de supervisar los controles internos y la gestión de riesgos, con especial énfasis en aquellos que afectan la integridad pública y para la gestión preventiva de riesgos fiscales, como garantía razonable para el cumplimiento misional y una efectiva protección de los recursos.</w:t>
            </w:r>
          </w:p>
          <w:p w14:paraId="73F8CC7D" w14:textId="77777777" w:rsidR="00D766C5" w:rsidRPr="00301804" w:rsidRDefault="00D766C5" w:rsidP="00301804">
            <w:pPr>
              <w:jc w:val="both"/>
              <w:rPr>
                <w:rFonts w:ascii="Helvetica" w:hAnsi="Helvetica" w:cs="Helvetica"/>
              </w:rPr>
            </w:pPr>
          </w:p>
          <w:p w14:paraId="2CD4033C" w14:textId="43324181" w:rsidR="00301804" w:rsidRPr="00301804" w:rsidRDefault="00301804" w:rsidP="00301804">
            <w:pPr>
              <w:jc w:val="both"/>
              <w:rPr>
                <w:rFonts w:ascii="Helvetica" w:hAnsi="Helvetica" w:cs="Helvetica"/>
              </w:rPr>
            </w:pPr>
            <w:r w:rsidRPr="00301804">
              <w:rPr>
                <w:rFonts w:ascii="Helvetica" w:hAnsi="Helvetica" w:cs="Helvetica"/>
              </w:rPr>
              <w:t>De igual forma, los informes que se derivan de estos comités y de las Oficinas de Control Interno deben trascender la función meramente informativa o de cumplimiento</w:t>
            </w:r>
            <w:r w:rsidR="00EC33A1">
              <w:rPr>
                <w:rFonts w:ascii="Helvetica" w:hAnsi="Helvetica" w:cs="Helvetica"/>
              </w:rPr>
              <w:t>,</w:t>
            </w:r>
            <w:r w:rsidRPr="00301804">
              <w:rPr>
                <w:rFonts w:ascii="Helvetica" w:hAnsi="Helvetica" w:cs="Helvetica"/>
              </w:rPr>
              <w:t xml:space="preserve"> </w:t>
            </w:r>
            <w:r w:rsidR="00EC33A1">
              <w:rPr>
                <w:rFonts w:ascii="Helvetica" w:hAnsi="Helvetica" w:cs="Helvetica"/>
              </w:rPr>
              <w:t>s</w:t>
            </w:r>
            <w:r w:rsidRPr="00301804">
              <w:rPr>
                <w:rFonts w:ascii="Helvetica" w:hAnsi="Helvetica" w:cs="Helvetica"/>
              </w:rPr>
              <w:t>u contenido deberá estar alineado con los propósitos de MIPG</w:t>
            </w:r>
            <w:r w:rsidR="00EC33A1">
              <w:rPr>
                <w:rFonts w:ascii="Helvetica" w:hAnsi="Helvetica" w:cs="Helvetica"/>
              </w:rPr>
              <w:t xml:space="preserve"> relacionados con la gestión para resultados y la generación de valor público</w:t>
            </w:r>
            <w:r w:rsidRPr="00301804">
              <w:rPr>
                <w:rFonts w:ascii="Helvetica" w:hAnsi="Helvetica" w:cs="Helvetica"/>
              </w:rPr>
              <w:t>,</w:t>
            </w:r>
            <w:r w:rsidR="00EC33A1">
              <w:rPr>
                <w:rFonts w:ascii="Helvetica" w:hAnsi="Helvetica" w:cs="Helvetica"/>
              </w:rPr>
              <w:t xml:space="preserve"> así mismo,</w:t>
            </w:r>
            <w:r w:rsidRPr="00301804">
              <w:rPr>
                <w:rFonts w:ascii="Helvetica" w:hAnsi="Helvetica" w:cs="Helvetica"/>
              </w:rPr>
              <w:t xml:space="preserve"> articularse con la planeación institucional y ser utilizado de manera efectiva en los espacios de decisión. La actualización normativa busca garantizar que estos productos cumplan con estándares de calidad, pertinencia y oportunidad, y que su aprovechamiento permita la trazabilidad de las decisiones, la anticipación de riesgos y la mejora sostenida de los procesos institucionales</w:t>
            </w:r>
            <w:r w:rsidR="00EC33A1">
              <w:rPr>
                <w:rFonts w:ascii="Helvetica" w:hAnsi="Helvetica" w:cs="Helvetica"/>
              </w:rPr>
              <w:t xml:space="preserve"> para una prestación del servicio a los ciudadanos basada en estándares de calidad </w:t>
            </w:r>
            <w:r w:rsidR="00B252B4">
              <w:rPr>
                <w:rFonts w:ascii="Helvetica" w:hAnsi="Helvetica" w:cs="Helvetica"/>
              </w:rPr>
              <w:t>y bajo criterios de integridad en el servicio público.</w:t>
            </w:r>
          </w:p>
          <w:p w14:paraId="43AD1BF2" w14:textId="77777777" w:rsidR="00EC33A1" w:rsidRDefault="00EC33A1" w:rsidP="00301804">
            <w:pPr>
              <w:jc w:val="both"/>
              <w:rPr>
                <w:rFonts w:ascii="Helvetica" w:hAnsi="Helvetica" w:cs="Helvetica"/>
              </w:rPr>
            </w:pPr>
          </w:p>
          <w:p w14:paraId="025D669D" w14:textId="5DB32754" w:rsidR="00301804" w:rsidRDefault="00D27D64" w:rsidP="00301804">
            <w:pPr>
              <w:jc w:val="both"/>
              <w:rPr>
                <w:rFonts w:ascii="Helvetica" w:hAnsi="Helvetica" w:cs="Helvetica"/>
              </w:rPr>
            </w:pPr>
            <w:r>
              <w:rPr>
                <w:rFonts w:ascii="Helvetica" w:hAnsi="Helvetica" w:cs="Helvetica"/>
              </w:rPr>
              <w:t>De acuerdo con todo lo expuesto, a</w:t>
            </w:r>
            <w:r w:rsidR="00B252B4">
              <w:rPr>
                <w:rFonts w:ascii="Helvetica" w:hAnsi="Helvetica" w:cs="Helvetica"/>
              </w:rPr>
              <w:t xml:space="preserve"> continuación, se definen las modificaciones propuestas por artículo:</w:t>
            </w:r>
          </w:p>
          <w:p w14:paraId="12280F7A" w14:textId="77777777" w:rsidR="00B252B4" w:rsidRPr="00301804" w:rsidRDefault="00B252B4" w:rsidP="00301804">
            <w:pPr>
              <w:jc w:val="both"/>
              <w:rPr>
                <w:rFonts w:ascii="Helvetica" w:hAnsi="Helvetica" w:cs="Helvetica"/>
              </w:rPr>
            </w:pPr>
          </w:p>
          <w:p w14:paraId="72D272C1" w14:textId="3182403B" w:rsidR="00301804" w:rsidRPr="00301804" w:rsidRDefault="00301804" w:rsidP="00301804">
            <w:pPr>
              <w:numPr>
                <w:ilvl w:val="0"/>
                <w:numId w:val="3"/>
              </w:numPr>
              <w:jc w:val="both"/>
              <w:rPr>
                <w:rFonts w:ascii="Helvetica" w:hAnsi="Helvetica" w:cs="Helvetica"/>
              </w:rPr>
            </w:pPr>
            <w:r w:rsidRPr="00301804">
              <w:rPr>
                <w:rFonts w:ascii="Helvetica" w:hAnsi="Helvetica" w:cs="Helvetica"/>
                <w:b/>
                <w:bCs/>
              </w:rPr>
              <w:t>Artículo 2.2.21.1.5</w:t>
            </w:r>
            <w:r w:rsidRPr="00301804">
              <w:rPr>
                <w:rFonts w:ascii="Helvetica" w:hAnsi="Helvetica" w:cs="Helvetica"/>
              </w:rPr>
              <w:t xml:space="preserve">: Se </w:t>
            </w:r>
            <w:r w:rsidR="001C0E70">
              <w:rPr>
                <w:rFonts w:ascii="Helvetica" w:hAnsi="Helvetica" w:cs="Helvetica"/>
              </w:rPr>
              <w:t>modifica nombre</w:t>
            </w:r>
            <w:r w:rsidR="00A633FC">
              <w:rPr>
                <w:rFonts w:ascii="Helvetica" w:hAnsi="Helvetica" w:cs="Helvetica"/>
              </w:rPr>
              <w:t xml:space="preserve"> e</w:t>
            </w:r>
            <w:r w:rsidR="00A831E4">
              <w:rPr>
                <w:rFonts w:ascii="Helvetica" w:hAnsi="Helvetica" w:cs="Helvetica"/>
              </w:rPr>
              <w:t xml:space="preserve"> integrantes</w:t>
            </w:r>
            <w:r w:rsidR="00A633FC">
              <w:rPr>
                <w:rFonts w:ascii="Helvetica" w:hAnsi="Helvetica" w:cs="Helvetica"/>
              </w:rPr>
              <w:t xml:space="preserve"> del Comité Institucional de Coordinación de Control Interno</w:t>
            </w:r>
            <w:r w:rsidR="001C0E70">
              <w:rPr>
                <w:rFonts w:ascii="Helvetica" w:hAnsi="Helvetica" w:cs="Helvetica"/>
              </w:rPr>
              <w:t xml:space="preserve"> </w:t>
            </w:r>
            <w:r w:rsidR="004B236C">
              <w:rPr>
                <w:rFonts w:ascii="Helvetica" w:hAnsi="Helvetica" w:cs="Helvetica"/>
              </w:rPr>
              <w:t>para orientarlo hacia las buenas prácticas en materia de control interno y auditoría interna</w:t>
            </w:r>
            <w:r w:rsidR="00A633FC">
              <w:rPr>
                <w:rFonts w:ascii="Helvetica" w:hAnsi="Helvetica" w:cs="Helvetica"/>
              </w:rPr>
              <w:t xml:space="preserve">. </w:t>
            </w:r>
            <w:r w:rsidR="009B0AE3">
              <w:rPr>
                <w:rFonts w:ascii="Helvetica" w:hAnsi="Helvetica" w:cs="Helvetica"/>
              </w:rPr>
              <w:t>La m</w:t>
            </w:r>
            <w:r w:rsidR="00A633FC">
              <w:rPr>
                <w:rFonts w:ascii="Helvetica" w:hAnsi="Helvetica" w:cs="Helvetica"/>
              </w:rPr>
              <w:t>odifica</w:t>
            </w:r>
            <w:r w:rsidR="009B0AE3">
              <w:rPr>
                <w:rFonts w:ascii="Helvetica" w:hAnsi="Helvetica" w:cs="Helvetica"/>
              </w:rPr>
              <w:t>ción a</w:t>
            </w:r>
            <w:r w:rsidR="00A633FC">
              <w:rPr>
                <w:rFonts w:ascii="Helvetica" w:hAnsi="Helvetica" w:cs="Helvetica"/>
              </w:rPr>
              <w:t xml:space="preserve"> esta institucionalidad base</w:t>
            </w:r>
            <w:r w:rsidR="009B0AE3">
              <w:rPr>
                <w:rFonts w:ascii="Helvetica" w:hAnsi="Helvetica" w:cs="Helvetica"/>
              </w:rPr>
              <w:t>,</w:t>
            </w:r>
            <w:r w:rsidR="00A633FC">
              <w:rPr>
                <w:rFonts w:ascii="Helvetica" w:hAnsi="Helvetica" w:cs="Helvetica"/>
              </w:rPr>
              <w:t xml:space="preserve"> permite</w:t>
            </w:r>
            <w:r w:rsidRPr="00301804">
              <w:rPr>
                <w:rFonts w:ascii="Helvetica" w:hAnsi="Helvetica" w:cs="Helvetica"/>
              </w:rPr>
              <w:t xml:space="preserve"> asegura</w:t>
            </w:r>
            <w:r w:rsidR="00A633FC">
              <w:rPr>
                <w:rFonts w:ascii="Helvetica" w:hAnsi="Helvetica" w:cs="Helvetica"/>
              </w:rPr>
              <w:t>r</w:t>
            </w:r>
            <w:r w:rsidRPr="00301804">
              <w:rPr>
                <w:rFonts w:ascii="Helvetica" w:hAnsi="Helvetica" w:cs="Helvetica"/>
              </w:rPr>
              <w:t xml:space="preserve"> su </w:t>
            </w:r>
            <w:r w:rsidR="00A633FC">
              <w:rPr>
                <w:rFonts w:ascii="Helvetica" w:hAnsi="Helvetica" w:cs="Helvetica"/>
              </w:rPr>
              <w:t xml:space="preserve">operación </w:t>
            </w:r>
            <w:r w:rsidRPr="00301804">
              <w:rPr>
                <w:rFonts w:ascii="Helvetica" w:hAnsi="Helvetica" w:cs="Helvetica"/>
              </w:rPr>
              <w:t>activa en los procesos de planeación, evaluación y mejora continua de la gestión institucional</w:t>
            </w:r>
            <w:r w:rsidR="00A633FC">
              <w:rPr>
                <w:rFonts w:ascii="Helvetica" w:hAnsi="Helvetica" w:cs="Helvetica"/>
              </w:rPr>
              <w:t>, lo que</w:t>
            </w:r>
            <w:r w:rsidRPr="00301804">
              <w:rPr>
                <w:rFonts w:ascii="Helvetica" w:hAnsi="Helvetica" w:cs="Helvetica"/>
              </w:rPr>
              <w:t xml:space="preserve"> permit</w:t>
            </w:r>
            <w:r w:rsidR="00A633FC">
              <w:rPr>
                <w:rFonts w:ascii="Helvetica" w:hAnsi="Helvetica" w:cs="Helvetica"/>
              </w:rPr>
              <w:t>e</w:t>
            </w:r>
            <w:r w:rsidRPr="00301804">
              <w:rPr>
                <w:rFonts w:ascii="Helvetica" w:hAnsi="Helvetica" w:cs="Helvetica"/>
              </w:rPr>
              <w:t xml:space="preserve"> que el Comité se consolide como un órgano estratégico, transversal y articulador dentro del marco del MIPG, </w:t>
            </w:r>
            <w:r w:rsidR="00A633FC">
              <w:rPr>
                <w:rFonts w:ascii="Helvetica" w:hAnsi="Helvetica" w:cs="Helvetica"/>
              </w:rPr>
              <w:t xml:space="preserve">al </w:t>
            </w:r>
            <w:r w:rsidRPr="00301804">
              <w:rPr>
                <w:rFonts w:ascii="Helvetica" w:hAnsi="Helvetica" w:cs="Helvetica"/>
              </w:rPr>
              <w:t>facilita</w:t>
            </w:r>
            <w:r w:rsidR="00A633FC">
              <w:rPr>
                <w:rFonts w:ascii="Helvetica" w:hAnsi="Helvetica" w:cs="Helvetica"/>
              </w:rPr>
              <w:t>r</w:t>
            </w:r>
            <w:r w:rsidRPr="00301804">
              <w:rPr>
                <w:rFonts w:ascii="Helvetica" w:hAnsi="Helvetica" w:cs="Helvetica"/>
              </w:rPr>
              <w:t xml:space="preserve"> la toma de decisiones basadas en </w:t>
            </w:r>
            <w:r w:rsidR="00A633FC">
              <w:rPr>
                <w:rFonts w:ascii="Helvetica" w:hAnsi="Helvetica" w:cs="Helvetica"/>
              </w:rPr>
              <w:t>riesgos</w:t>
            </w:r>
            <w:r w:rsidRPr="00301804">
              <w:rPr>
                <w:rFonts w:ascii="Helvetica" w:hAnsi="Helvetica" w:cs="Helvetica"/>
              </w:rPr>
              <w:t xml:space="preserve"> y fomenta</w:t>
            </w:r>
            <w:r w:rsidR="00A633FC">
              <w:rPr>
                <w:rFonts w:ascii="Helvetica" w:hAnsi="Helvetica" w:cs="Helvetica"/>
              </w:rPr>
              <w:t>r</w:t>
            </w:r>
            <w:r w:rsidRPr="00301804">
              <w:rPr>
                <w:rFonts w:ascii="Helvetica" w:hAnsi="Helvetica" w:cs="Helvetica"/>
              </w:rPr>
              <w:t xml:space="preserve"> la articulación de los sistemas de gestión</w:t>
            </w:r>
            <w:r w:rsidR="00A633FC">
              <w:rPr>
                <w:rFonts w:ascii="Helvetica" w:hAnsi="Helvetica" w:cs="Helvetica"/>
              </w:rPr>
              <w:t xml:space="preserve"> y control.</w:t>
            </w:r>
          </w:p>
          <w:p w14:paraId="70224774" w14:textId="215C0E41" w:rsidR="00A633FC" w:rsidRPr="00A633FC" w:rsidRDefault="00301804" w:rsidP="00A633FC">
            <w:pPr>
              <w:pStyle w:val="Prrafodelista"/>
              <w:numPr>
                <w:ilvl w:val="0"/>
                <w:numId w:val="3"/>
              </w:numPr>
              <w:jc w:val="both"/>
              <w:rPr>
                <w:rFonts w:ascii="Helvetica" w:hAnsi="Helvetica" w:cs="Helvetica"/>
              </w:rPr>
            </w:pPr>
            <w:r w:rsidRPr="00A633FC">
              <w:rPr>
                <w:rFonts w:ascii="Helvetica" w:hAnsi="Helvetica" w:cs="Helvetica"/>
                <w:b/>
                <w:bCs/>
              </w:rPr>
              <w:t>Artículo 2.2.21.1.6</w:t>
            </w:r>
            <w:r w:rsidRPr="00A633FC">
              <w:rPr>
                <w:rFonts w:ascii="Helvetica" w:hAnsi="Helvetica" w:cs="Helvetica"/>
              </w:rPr>
              <w:t xml:space="preserve">: Se </w:t>
            </w:r>
            <w:r w:rsidR="00A633FC" w:rsidRPr="00A633FC">
              <w:rPr>
                <w:rFonts w:ascii="Helvetica" w:hAnsi="Helvetica" w:cs="Helvetica"/>
              </w:rPr>
              <w:t>modifican funciones</w:t>
            </w:r>
            <w:r w:rsidRPr="00A633FC">
              <w:rPr>
                <w:rFonts w:ascii="Helvetica" w:hAnsi="Helvetica" w:cs="Helvetica"/>
              </w:rPr>
              <w:t xml:space="preserve"> </w:t>
            </w:r>
            <w:r w:rsidR="00A633FC" w:rsidRPr="00A633FC">
              <w:rPr>
                <w:rFonts w:ascii="Helvetica" w:hAnsi="Helvetica" w:cs="Helvetica"/>
              </w:rPr>
              <w:t>del Comité Institucional de Coordinación de Control Interno para orientarlo al monitoreo, evaluación y supervisión de la gestión integral del riesgo, donde se incorporan las actualizaciones más recientes en esta materia, específicamente en lo que tiene que ver con los riesgos que afectan la integridad pública</w:t>
            </w:r>
            <w:r w:rsidR="00A633FC">
              <w:rPr>
                <w:rFonts w:ascii="Helvetica" w:hAnsi="Helvetica" w:cs="Helvetica"/>
              </w:rPr>
              <w:t>,</w:t>
            </w:r>
            <w:r w:rsidR="00A633FC" w:rsidRPr="00A633FC">
              <w:rPr>
                <w:rFonts w:ascii="Helvetica" w:hAnsi="Helvetica" w:cs="Helvetica"/>
              </w:rPr>
              <w:t xml:space="preserve"> que incluyen</w:t>
            </w:r>
            <w:r w:rsidR="00A633FC">
              <w:t xml:space="preserve"> </w:t>
            </w:r>
            <w:r w:rsidR="00A633FC" w:rsidRPr="00A633FC">
              <w:rPr>
                <w:rFonts w:ascii="Helvetica" w:hAnsi="Helvetica" w:cs="Helvetica"/>
              </w:rPr>
              <w:t xml:space="preserve">posibles amenazas </w:t>
            </w:r>
            <w:r w:rsidR="00A633FC">
              <w:rPr>
                <w:rFonts w:ascii="Helvetica" w:hAnsi="Helvetica" w:cs="Helvetica"/>
              </w:rPr>
              <w:t>por</w:t>
            </w:r>
            <w:r w:rsidR="00A633FC" w:rsidRPr="00A633FC">
              <w:rPr>
                <w:rFonts w:ascii="Helvetica" w:hAnsi="Helvetica" w:cs="Helvetica"/>
              </w:rPr>
              <w:t xml:space="preserve"> soborno, fraude, inadecuada gestión de conflictos de interés, corrupción y de Lavado de Activos (LA), Financiación del Terrorismo (FT) y Financiación de la Proliferación de Armas de Destrucción Masiva (FP) -LA/FT/FP</w:t>
            </w:r>
            <w:r w:rsidR="00A633FC">
              <w:rPr>
                <w:rFonts w:ascii="Helvetica" w:hAnsi="Helvetica" w:cs="Helvetica"/>
              </w:rPr>
              <w:t>, adicional a los riesgos generales de la operación, fiscales y de seguridad de la información, tipologías sobre las cuales es necesario</w:t>
            </w:r>
            <w:r w:rsidR="00866B5C">
              <w:rPr>
                <w:rFonts w:ascii="Helvetica" w:hAnsi="Helvetica" w:cs="Helvetica"/>
              </w:rPr>
              <w:t xml:space="preserve"> que el comité lleve a cabo un monitoreo periódico y diligente para evitar su materialización. Así mismo, se incluyen funciones asociadas a la supervisión de la función de auditoría interna, la aprobación a los instrumentos técnicos necesarios para la ejecución de los roles que corresponden a las Oficinas de Control Interno o instancia que hace sus veces. Se incluyen otras funciones de monitoreo y revisión de estados financieros, supervisión del esquema de líneas y su operación</w:t>
            </w:r>
            <w:r w:rsidR="009B0AE3">
              <w:rPr>
                <w:rFonts w:ascii="Helvetica" w:hAnsi="Helvetica" w:cs="Helvetica"/>
              </w:rPr>
              <w:t>,</w:t>
            </w:r>
            <w:r w:rsidR="00866B5C">
              <w:rPr>
                <w:rFonts w:ascii="Helvetica" w:hAnsi="Helvetica" w:cs="Helvetica"/>
              </w:rPr>
              <w:t xml:space="preserve"> que incluye propender por procesos de capacitación a la Alta Dirección que mejore su gestión y toma de conciencia sobre la política de control interno y de la gestión integral del riesgo, como eje fundamental para garantizar de forma razonable el cumplimiento misional, la protección de los recursos públicos y la prestación de servicios a los ciudadanos</w:t>
            </w:r>
            <w:r w:rsidR="009B0AE3">
              <w:rPr>
                <w:rFonts w:ascii="Helvetica" w:hAnsi="Helvetica" w:cs="Helvetica"/>
              </w:rPr>
              <w:t>.</w:t>
            </w:r>
          </w:p>
          <w:p w14:paraId="43237161" w14:textId="49E15034" w:rsidR="00301804" w:rsidRPr="00301804" w:rsidRDefault="00301804" w:rsidP="00301804">
            <w:pPr>
              <w:numPr>
                <w:ilvl w:val="0"/>
                <w:numId w:val="3"/>
              </w:numPr>
              <w:jc w:val="both"/>
              <w:rPr>
                <w:rFonts w:ascii="Helvetica" w:hAnsi="Helvetica" w:cs="Helvetica"/>
              </w:rPr>
            </w:pPr>
            <w:r w:rsidRPr="00301804">
              <w:rPr>
                <w:rFonts w:ascii="Helvetica" w:hAnsi="Helvetica" w:cs="Helvetica"/>
                <w:b/>
                <w:bCs/>
              </w:rPr>
              <w:t>Artículo 2.2.21.3.11</w:t>
            </w:r>
            <w:r w:rsidRPr="00301804">
              <w:rPr>
                <w:rFonts w:ascii="Helvetica" w:hAnsi="Helvetica" w:cs="Helvetica"/>
              </w:rPr>
              <w:t xml:space="preserve">: Se </w:t>
            </w:r>
            <w:r w:rsidR="00866B5C">
              <w:rPr>
                <w:rFonts w:ascii="Helvetica" w:hAnsi="Helvetica" w:cs="Helvetica"/>
              </w:rPr>
              <w:t>suprime el C</w:t>
            </w:r>
            <w:r w:rsidR="00866B5C" w:rsidRPr="00866B5C">
              <w:rPr>
                <w:rFonts w:ascii="Helvetica" w:hAnsi="Helvetica" w:cs="Helvetica"/>
              </w:rPr>
              <w:t>omité Interinstitucional de Control Interno – CICI- del orden nacional y territorial</w:t>
            </w:r>
            <w:r w:rsidR="00866B5C">
              <w:rPr>
                <w:rFonts w:ascii="Helvetica" w:hAnsi="Helvetica" w:cs="Helvetica"/>
              </w:rPr>
              <w:t>, por generar duplicidad con los comités Sectoriales, Departamentales, Municipales y Distritales de Auditoría Interna</w:t>
            </w:r>
            <w:r w:rsidR="009B0AE3">
              <w:rPr>
                <w:rFonts w:ascii="Helvetica" w:hAnsi="Helvetica" w:cs="Helvetica"/>
              </w:rPr>
              <w:t>.</w:t>
            </w:r>
          </w:p>
          <w:p w14:paraId="41C17EB0" w14:textId="0891A420" w:rsidR="00301804" w:rsidRPr="00301804" w:rsidRDefault="00301804" w:rsidP="00301804">
            <w:pPr>
              <w:numPr>
                <w:ilvl w:val="0"/>
                <w:numId w:val="3"/>
              </w:numPr>
              <w:jc w:val="both"/>
              <w:rPr>
                <w:rFonts w:ascii="Helvetica" w:hAnsi="Helvetica" w:cs="Helvetica"/>
              </w:rPr>
            </w:pPr>
            <w:r w:rsidRPr="00301804">
              <w:rPr>
                <w:rFonts w:ascii="Helvetica" w:hAnsi="Helvetica" w:cs="Helvetica"/>
                <w:b/>
                <w:bCs/>
              </w:rPr>
              <w:t>Artículo 2.2.21.4.8</w:t>
            </w:r>
            <w:r w:rsidRPr="00301804">
              <w:rPr>
                <w:rFonts w:ascii="Helvetica" w:hAnsi="Helvetica" w:cs="Helvetica"/>
              </w:rPr>
              <w:t xml:space="preserve">: </w:t>
            </w:r>
            <w:r w:rsidR="00866B5C">
              <w:rPr>
                <w:rFonts w:ascii="Helvetica" w:hAnsi="Helvetica" w:cs="Helvetica"/>
              </w:rPr>
              <w:t xml:space="preserve">Se modifican y amplían los </w:t>
            </w:r>
            <w:r w:rsidR="00866B5C" w:rsidRPr="00866B5C">
              <w:rPr>
                <w:rFonts w:ascii="Helvetica" w:hAnsi="Helvetica" w:cs="Helvetica"/>
              </w:rPr>
              <w:t>instrumentos para la actividad de la Auditoría Interna</w:t>
            </w:r>
            <w:r w:rsidR="000067D0">
              <w:rPr>
                <w:rFonts w:ascii="Helvetica" w:hAnsi="Helvetica" w:cs="Helvetica"/>
              </w:rPr>
              <w:t>, de acuerdo con la actualización a las Normas Internacionales en materia de auditoría interna, base de la Guía de Auditoría Basada en Riesgos para Entidades Públicas</w:t>
            </w:r>
            <w:r w:rsidR="009B0AE3">
              <w:rPr>
                <w:rFonts w:ascii="Helvetica" w:hAnsi="Helvetica" w:cs="Helvetica"/>
              </w:rPr>
              <w:t xml:space="preserve"> versión 4</w:t>
            </w:r>
            <w:r w:rsidR="000067D0">
              <w:rPr>
                <w:rFonts w:ascii="Helvetica" w:hAnsi="Helvetica" w:cs="Helvetica"/>
              </w:rPr>
              <w:t>, instrumento de obligatoria implementación para las Oficinas de Control Interno o instancia que haga sus veces, l</w:t>
            </w:r>
            <w:r w:rsidR="009B0AE3">
              <w:rPr>
                <w:rFonts w:ascii="Helvetica" w:hAnsi="Helvetica" w:cs="Helvetica"/>
              </w:rPr>
              <w:t>a</w:t>
            </w:r>
            <w:r w:rsidR="000067D0">
              <w:rPr>
                <w:rFonts w:ascii="Helvetica" w:hAnsi="Helvetica" w:cs="Helvetica"/>
              </w:rPr>
              <w:t xml:space="preserve"> cual se encuentran en proceso de actualización, lo que exige incluir los nuevos instrumentos para la gestión de estas oficinas y para la ejecución técnica y sistemática de sus procesos de auditoría interna</w:t>
            </w:r>
            <w:r w:rsidRPr="00301804">
              <w:rPr>
                <w:rFonts w:ascii="Helvetica" w:hAnsi="Helvetica" w:cs="Helvetica"/>
              </w:rPr>
              <w:t xml:space="preserve">. Se busca así reforzar el </w:t>
            </w:r>
            <w:r w:rsidRPr="00301804">
              <w:rPr>
                <w:rFonts w:ascii="Helvetica" w:hAnsi="Helvetica" w:cs="Helvetica"/>
              </w:rPr>
              <w:lastRenderedPageBreak/>
              <w:t>enfoque ético, técnico y de liderazgo de quienes ocupan este cargo</w:t>
            </w:r>
            <w:r w:rsidR="000067D0">
              <w:rPr>
                <w:rFonts w:ascii="Helvetica" w:hAnsi="Helvetica" w:cs="Helvetica"/>
              </w:rPr>
              <w:t>, por su rol de asesores y evaluadores independientes de la gestión.</w:t>
            </w:r>
          </w:p>
          <w:p w14:paraId="372607B8" w14:textId="5594C405" w:rsidR="00301804" w:rsidRPr="00301804" w:rsidRDefault="00301804" w:rsidP="00301804">
            <w:pPr>
              <w:numPr>
                <w:ilvl w:val="0"/>
                <w:numId w:val="3"/>
              </w:numPr>
              <w:jc w:val="both"/>
              <w:rPr>
                <w:rFonts w:ascii="Helvetica" w:hAnsi="Helvetica" w:cs="Helvetica"/>
              </w:rPr>
            </w:pPr>
            <w:r w:rsidRPr="00301804">
              <w:rPr>
                <w:rFonts w:ascii="Helvetica" w:hAnsi="Helvetica" w:cs="Helvetica"/>
                <w:b/>
                <w:bCs/>
              </w:rPr>
              <w:t>Artículo 2.2.21.4.9</w:t>
            </w:r>
            <w:r w:rsidRPr="00301804">
              <w:rPr>
                <w:rFonts w:ascii="Helvetica" w:hAnsi="Helvetica" w:cs="Helvetica"/>
              </w:rPr>
              <w:t xml:space="preserve">: Se </w:t>
            </w:r>
            <w:r w:rsidR="00975341">
              <w:rPr>
                <w:rFonts w:ascii="Helvetica" w:hAnsi="Helvetica" w:cs="Helvetica"/>
              </w:rPr>
              <w:t xml:space="preserve">modifican y precisan los informes clave bajo la responsabilidad de Oficinas de Control Interno o instancia que haga sus veces, especificando su alcance hacia la evaluación independiente y de aplicación de técnicas para </w:t>
            </w:r>
            <w:r w:rsidR="009B0AE3">
              <w:rPr>
                <w:rFonts w:ascii="Helvetica" w:hAnsi="Helvetica" w:cs="Helvetica"/>
              </w:rPr>
              <w:t>establecer su</w:t>
            </w:r>
            <w:r w:rsidR="00975341">
              <w:rPr>
                <w:rFonts w:ascii="Helvetica" w:hAnsi="Helvetica" w:cs="Helvetica"/>
              </w:rPr>
              <w:t xml:space="preserve"> cumplimiento frente al Sistema de Control Interno en diferentes ámbitos de la gestión institucional.</w:t>
            </w:r>
          </w:p>
          <w:p w14:paraId="12212389" w14:textId="17F83D4C" w:rsidR="00301804" w:rsidRPr="00301804" w:rsidRDefault="00301804" w:rsidP="00301804">
            <w:pPr>
              <w:numPr>
                <w:ilvl w:val="0"/>
                <w:numId w:val="3"/>
              </w:numPr>
              <w:jc w:val="both"/>
              <w:rPr>
                <w:rFonts w:ascii="Helvetica" w:hAnsi="Helvetica" w:cs="Helvetica"/>
              </w:rPr>
            </w:pPr>
            <w:r w:rsidRPr="00301804">
              <w:rPr>
                <w:rFonts w:ascii="Helvetica" w:hAnsi="Helvetica" w:cs="Helvetica"/>
                <w:b/>
                <w:bCs/>
              </w:rPr>
              <w:t>Artículo 2.2.21.5.4</w:t>
            </w:r>
            <w:r w:rsidRPr="00301804">
              <w:rPr>
                <w:rFonts w:ascii="Helvetica" w:hAnsi="Helvetica" w:cs="Helvetica"/>
              </w:rPr>
              <w:t xml:space="preserve">: </w:t>
            </w:r>
            <w:r w:rsidR="000A2E17">
              <w:rPr>
                <w:rFonts w:ascii="Helvetica" w:hAnsi="Helvetica" w:cs="Helvetica"/>
              </w:rPr>
              <w:t>Se modifica nombre de Administración de Riesgos a Gestión Integral del Riesgo, con el fin de actualizarlo de acuerdo con la normatividad más reciente en materia de riesgos</w:t>
            </w:r>
            <w:r w:rsidR="009B0AE3">
              <w:rPr>
                <w:rFonts w:ascii="Helvetica" w:hAnsi="Helvetica" w:cs="Helvetica"/>
              </w:rPr>
              <w:t xml:space="preserve"> y</w:t>
            </w:r>
            <w:r w:rsidR="000A2E17">
              <w:rPr>
                <w:rFonts w:ascii="Helvetica" w:hAnsi="Helvetica" w:cs="Helvetica"/>
              </w:rPr>
              <w:t xml:space="preserve"> alinearlo con el instrumento desarrollado en su versión 7 denominado Guía para la Gestión Integral del Riesgo, donde se han incorporado </w:t>
            </w:r>
            <w:r w:rsidR="000A2E17" w:rsidRPr="00A633FC">
              <w:rPr>
                <w:rFonts w:ascii="Helvetica" w:hAnsi="Helvetica" w:cs="Helvetica"/>
              </w:rPr>
              <w:t>los riesgos que afectan la integridad pública</w:t>
            </w:r>
            <w:r w:rsidRPr="00301804">
              <w:rPr>
                <w:rFonts w:ascii="Helvetica" w:hAnsi="Helvetica" w:cs="Helvetica"/>
              </w:rPr>
              <w:t>.</w:t>
            </w:r>
          </w:p>
          <w:p w14:paraId="1C5CE7FC" w14:textId="4411CD73" w:rsidR="00301804" w:rsidRDefault="00301804" w:rsidP="00301804">
            <w:pPr>
              <w:numPr>
                <w:ilvl w:val="0"/>
                <w:numId w:val="3"/>
              </w:numPr>
              <w:jc w:val="both"/>
              <w:rPr>
                <w:rFonts w:ascii="Helvetica" w:hAnsi="Helvetica" w:cs="Helvetica"/>
              </w:rPr>
            </w:pPr>
            <w:r w:rsidRPr="00301804">
              <w:rPr>
                <w:rFonts w:ascii="Helvetica" w:hAnsi="Helvetica" w:cs="Helvetica"/>
                <w:b/>
                <w:bCs/>
              </w:rPr>
              <w:t>Artículo 2.2.21.5.5</w:t>
            </w:r>
            <w:r w:rsidRPr="00301804">
              <w:rPr>
                <w:rFonts w:ascii="Helvetica" w:hAnsi="Helvetica" w:cs="Helvetica"/>
              </w:rPr>
              <w:t>:</w:t>
            </w:r>
            <w:r w:rsidR="000A2E17">
              <w:rPr>
                <w:rFonts w:ascii="Helvetica" w:hAnsi="Helvetica" w:cs="Helvetica"/>
              </w:rPr>
              <w:t xml:space="preserve"> Se modifica para fortalecer la obligatoriedad de implementación por parte de las entidades objeto de la Ley 87 de 1993 de las guías, </w:t>
            </w:r>
            <w:r w:rsidR="000A2E17" w:rsidRPr="000A2E17">
              <w:rPr>
                <w:rFonts w:ascii="Helvetica" w:hAnsi="Helvetica" w:cs="Helvetica"/>
              </w:rPr>
              <w:t>circulares, instructivos y demás documentos técnicos elaborados por el Departamento Administrativo de la Función Pública</w:t>
            </w:r>
            <w:r w:rsidR="000A2E17">
              <w:rPr>
                <w:rFonts w:ascii="Helvetica" w:hAnsi="Helvetica" w:cs="Helvetica"/>
              </w:rPr>
              <w:t>.</w:t>
            </w:r>
          </w:p>
          <w:p w14:paraId="7A039210" w14:textId="77777777" w:rsidR="000A2E17" w:rsidRPr="00301804" w:rsidRDefault="000A2E17" w:rsidP="000A2E17">
            <w:pPr>
              <w:ind w:left="720"/>
              <w:jc w:val="both"/>
              <w:rPr>
                <w:rFonts w:ascii="Helvetica" w:hAnsi="Helvetica" w:cs="Helvetica"/>
              </w:rPr>
            </w:pPr>
          </w:p>
          <w:p w14:paraId="333C5E47" w14:textId="02687F30" w:rsidR="00301804" w:rsidRPr="00301804" w:rsidRDefault="00301804" w:rsidP="00301804">
            <w:pPr>
              <w:jc w:val="both"/>
              <w:rPr>
                <w:rFonts w:ascii="Helvetica" w:hAnsi="Helvetica" w:cs="Helvetica"/>
              </w:rPr>
            </w:pPr>
            <w:r w:rsidRPr="00301804">
              <w:rPr>
                <w:rFonts w:ascii="Helvetica" w:hAnsi="Helvetica" w:cs="Helvetica"/>
              </w:rPr>
              <w:t xml:space="preserve">Estas modificaciones permitirán consolidar un marco normativo coherente con la evolución del MIPG, </w:t>
            </w:r>
            <w:r w:rsidR="000A2E17">
              <w:rPr>
                <w:rFonts w:ascii="Helvetica" w:hAnsi="Helvetica" w:cs="Helvetica"/>
              </w:rPr>
              <w:t>de las normas y estándares internacionales en materia de control interno y auditoría interna, base de los modelos y esquemas que a la fecha permiten la implementación de la política de Control Interno y para la mejora de las funciones de los Jefes de Control Interno en todas las entidades del Estado</w:t>
            </w:r>
            <w:r w:rsidR="00D93198">
              <w:rPr>
                <w:rFonts w:ascii="Helvetica" w:hAnsi="Helvetica" w:cs="Helvetica"/>
              </w:rPr>
              <w:t xml:space="preserve">, así mismo se alinea </w:t>
            </w:r>
            <w:r w:rsidRPr="00301804">
              <w:rPr>
                <w:rFonts w:ascii="Helvetica" w:hAnsi="Helvetica" w:cs="Helvetica"/>
              </w:rPr>
              <w:t>con los principios del buen gobierno y con las demandas actuales de una gestión pública más efectiva, transparente y orientada a resultados.</w:t>
            </w:r>
          </w:p>
          <w:p w14:paraId="6B37D85F" w14:textId="77777777" w:rsidR="00677D40" w:rsidRDefault="00677D40" w:rsidP="00303394">
            <w:pPr>
              <w:jc w:val="both"/>
              <w:rPr>
                <w:rFonts w:ascii="Helvetica" w:hAnsi="Helvetica" w:cs="Helvetica"/>
              </w:rPr>
            </w:pPr>
          </w:p>
          <w:p w14:paraId="7B60F92F" w14:textId="2975F563" w:rsidR="004870CB" w:rsidRDefault="004870CB" w:rsidP="00303394">
            <w:pPr>
              <w:jc w:val="both"/>
              <w:rPr>
                <w:rFonts w:ascii="Helvetica" w:hAnsi="Helvetica" w:cs="Helvetica"/>
              </w:rPr>
            </w:pPr>
            <w:r>
              <w:rPr>
                <w:rFonts w:ascii="Helvetica" w:hAnsi="Helvetica" w:cs="Helvetica"/>
              </w:rPr>
              <w:t xml:space="preserve">Finalmente, a continuación, se presenta un resumen del marco normativo sobre </w:t>
            </w:r>
            <w:r w:rsidR="004C65F8">
              <w:rPr>
                <w:rFonts w:ascii="Helvetica" w:hAnsi="Helvetica" w:cs="Helvetica"/>
              </w:rPr>
              <w:t xml:space="preserve">el tema en </w:t>
            </w:r>
            <w:r>
              <w:rPr>
                <w:rFonts w:ascii="Helvetica" w:hAnsi="Helvetica" w:cs="Helvetica"/>
              </w:rPr>
              <w:t>Colombia:</w:t>
            </w:r>
          </w:p>
          <w:p w14:paraId="4A05C911" w14:textId="77777777" w:rsidR="00301804" w:rsidRDefault="00301804" w:rsidP="00303394">
            <w:pPr>
              <w:jc w:val="both"/>
              <w:rPr>
                <w:rFonts w:ascii="Helvetica" w:hAnsi="Helvetica" w:cs="Helvetica"/>
              </w:rPr>
            </w:pPr>
          </w:p>
          <w:tbl>
            <w:tblPr>
              <w:tblStyle w:val="Tablaconcuadrcula"/>
              <w:tblW w:w="0" w:type="auto"/>
              <w:jc w:val="center"/>
              <w:tblLook w:val="04A0" w:firstRow="1" w:lastRow="0" w:firstColumn="1" w:lastColumn="0" w:noHBand="0" w:noVBand="1"/>
            </w:tblPr>
            <w:tblGrid>
              <w:gridCol w:w="2880"/>
              <w:gridCol w:w="2880"/>
              <w:gridCol w:w="2880"/>
            </w:tblGrid>
            <w:tr w:rsidR="00301804" w:rsidRPr="00EC33A1" w14:paraId="4896D2C5" w14:textId="77777777" w:rsidTr="00B252B4">
              <w:trPr>
                <w:tblHeader/>
                <w:jc w:val="center"/>
              </w:trPr>
              <w:tc>
                <w:tcPr>
                  <w:tcW w:w="2880" w:type="dxa"/>
                  <w:shd w:val="clear" w:color="auto" w:fill="44546A" w:themeFill="text2"/>
                </w:tcPr>
                <w:p w14:paraId="13034CA4" w14:textId="77777777" w:rsidR="00301804" w:rsidRPr="00EC33A1" w:rsidRDefault="00301804" w:rsidP="00301804">
                  <w:pPr>
                    <w:jc w:val="center"/>
                    <w:rPr>
                      <w:rFonts w:ascii="Helvetica" w:hAnsi="Helvetica" w:cs="Helvetica"/>
                      <w:b/>
                      <w:bCs/>
                      <w:color w:val="FFFFFF" w:themeColor="background1"/>
                    </w:rPr>
                  </w:pPr>
                  <w:r w:rsidRPr="00EC33A1">
                    <w:rPr>
                      <w:rFonts w:ascii="Helvetica" w:hAnsi="Helvetica" w:cs="Helvetica"/>
                      <w:b/>
                      <w:bCs/>
                      <w:color w:val="FFFFFF" w:themeColor="background1"/>
                    </w:rPr>
                    <w:t>Norma</w:t>
                  </w:r>
                </w:p>
              </w:tc>
              <w:tc>
                <w:tcPr>
                  <w:tcW w:w="2880" w:type="dxa"/>
                  <w:shd w:val="clear" w:color="auto" w:fill="44546A" w:themeFill="text2"/>
                </w:tcPr>
                <w:p w14:paraId="009FDF03" w14:textId="77777777" w:rsidR="00301804" w:rsidRPr="00EC33A1" w:rsidRDefault="00301804" w:rsidP="00301804">
                  <w:pPr>
                    <w:jc w:val="center"/>
                    <w:rPr>
                      <w:rFonts w:ascii="Helvetica" w:hAnsi="Helvetica" w:cs="Helvetica"/>
                      <w:b/>
                      <w:bCs/>
                      <w:color w:val="FFFFFF" w:themeColor="background1"/>
                    </w:rPr>
                  </w:pPr>
                  <w:r w:rsidRPr="00EC33A1">
                    <w:rPr>
                      <w:rFonts w:ascii="Helvetica" w:hAnsi="Helvetica" w:cs="Helvetica"/>
                      <w:b/>
                      <w:bCs/>
                      <w:color w:val="FFFFFF" w:themeColor="background1"/>
                    </w:rPr>
                    <w:t>Fecha de Publicación</w:t>
                  </w:r>
                </w:p>
              </w:tc>
              <w:tc>
                <w:tcPr>
                  <w:tcW w:w="2880" w:type="dxa"/>
                  <w:shd w:val="clear" w:color="auto" w:fill="44546A" w:themeFill="text2"/>
                </w:tcPr>
                <w:p w14:paraId="103B28BF" w14:textId="77777777" w:rsidR="00301804" w:rsidRPr="00EC33A1" w:rsidRDefault="00301804" w:rsidP="00301804">
                  <w:pPr>
                    <w:jc w:val="center"/>
                    <w:rPr>
                      <w:rFonts w:ascii="Helvetica" w:hAnsi="Helvetica" w:cs="Helvetica"/>
                      <w:b/>
                      <w:bCs/>
                      <w:color w:val="FFFFFF" w:themeColor="background1"/>
                    </w:rPr>
                  </w:pPr>
                  <w:r w:rsidRPr="00EC33A1">
                    <w:rPr>
                      <w:rFonts w:ascii="Helvetica" w:hAnsi="Helvetica" w:cs="Helvetica"/>
                      <w:b/>
                      <w:bCs/>
                      <w:color w:val="FFFFFF" w:themeColor="background1"/>
                    </w:rPr>
                    <w:t>Referencia/Descripción</w:t>
                  </w:r>
                </w:p>
              </w:tc>
            </w:tr>
            <w:tr w:rsidR="00301804" w:rsidRPr="00EC33A1" w14:paraId="4EEFEE73" w14:textId="77777777" w:rsidTr="00EC33A1">
              <w:trPr>
                <w:jc w:val="center"/>
              </w:trPr>
              <w:tc>
                <w:tcPr>
                  <w:tcW w:w="2880" w:type="dxa"/>
                </w:tcPr>
                <w:p w14:paraId="5D20BB6D" w14:textId="77777777" w:rsidR="00301804" w:rsidRPr="00EC33A1" w:rsidRDefault="00301804" w:rsidP="00301804">
                  <w:pPr>
                    <w:rPr>
                      <w:rFonts w:ascii="Helvetica" w:hAnsi="Helvetica" w:cs="Helvetica"/>
                    </w:rPr>
                  </w:pPr>
                  <w:r w:rsidRPr="00EC33A1">
                    <w:rPr>
                      <w:rFonts w:ascii="Helvetica" w:hAnsi="Helvetica" w:cs="Helvetica"/>
                    </w:rPr>
                    <w:t>Constitución Política de Colombia - Art. 209</w:t>
                  </w:r>
                </w:p>
              </w:tc>
              <w:tc>
                <w:tcPr>
                  <w:tcW w:w="2880" w:type="dxa"/>
                </w:tcPr>
                <w:p w14:paraId="4BC31D50" w14:textId="77777777" w:rsidR="00301804" w:rsidRPr="00EC33A1" w:rsidRDefault="00301804" w:rsidP="00301804">
                  <w:pPr>
                    <w:rPr>
                      <w:rFonts w:ascii="Helvetica" w:hAnsi="Helvetica" w:cs="Helvetica"/>
                    </w:rPr>
                  </w:pPr>
                  <w:r w:rsidRPr="00EC33A1">
                    <w:rPr>
                      <w:rFonts w:ascii="Helvetica" w:hAnsi="Helvetica" w:cs="Helvetica"/>
                    </w:rPr>
                    <w:t>4 de julio de 1991</w:t>
                  </w:r>
                </w:p>
              </w:tc>
              <w:tc>
                <w:tcPr>
                  <w:tcW w:w="2880" w:type="dxa"/>
                </w:tcPr>
                <w:p w14:paraId="1748624D" w14:textId="77777777" w:rsidR="00301804" w:rsidRPr="00EC33A1" w:rsidRDefault="00301804" w:rsidP="00301804">
                  <w:pPr>
                    <w:rPr>
                      <w:rFonts w:ascii="Helvetica" w:hAnsi="Helvetica" w:cs="Helvetica"/>
                    </w:rPr>
                  </w:pPr>
                  <w:r w:rsidRPr="00EC33A1">
                    <w:rPr>
                      <w:rFonts w:ascii="Helvetica" w:hAnsi="Helvetica" w:cs="Helvetica"/>
                    </w:rPr>
                    <w:t>Principios de la función administrativa</w:t>
                  </w:r>
                </w:p>
              </w:tc>
            </w:tr>
            <w:tr w:rsidR="00301804" w:rsidRPr="00EC33A1" w14:paraId="7494BEDD" w14:textId="77777777" w:rsidTr="00EC33A1">
              <w:trPr>
                <w:jc w:val="center"/>
              </w:trPr>
              <w:tc>
                <w:tcPr>
                  <w:tcW w:w="2880" w:type="dxa"/>
                </w:tcPr>
                <w:p w14:paraId="659BA0BF" w14:textId="77777777" w:rsidR="00301804" w:rsidRPr="00EC33A1" w:rsidRDefault="00301804" w:rsidP="00301804">
                  <w:pPr>
                    <w:rPr>
                      <w:rFonts w:ascii="Helvetica" w:hAnsi="Helvetica" w:cs="Helvetica"/>
                    </w:rPr>
                  </w:pPr>
                  <w:r w:rsidRPr="00EC33A1">
                    <w:rPr>
                      <w:rFonts w:ascii="Helvetica" w:hAnsi="Helvetica" w:cs="Helvetica"/>
                    </w:rPr>
                    <w:t>Constitución Política de Colombia - Art. 269</w:t>
                  </w:r>
                </w:p>
              </w:tc>
              <w:tc>
                <w:tcPr>
                  <w:tcW w:w="2880" w:type="dxa"/>
                </w:tcPr>
                <w:p w14:paraId="1E72999A" w14:textId="77777777" w:rsidR="00301804" w:rsidRPr="00EC33A1" w:rsidRDefault="00301804" w:rsidP="00301804">
                  <w:pPr>
                    <w:rPr>
                      <w:rFonts w:ascii="Helvetica" w:hAnsi="Helvetica" w:cs="Helvetica"/>
                    </w:rPr>
                  </w:pPr>
                  <w:r w:rsidRPr="00EC33A1">
                    <w:rPr>
                      <w:rFonts w:ascii="Helvetica" w:hAnsi="Helvetica" w:cs="Helvetica"/>
                    </w:rPr>
                    <w:t>4 de julio de 1991</w:t>
                  </w:r>
                </w:p>
              </w:tc>
              <w:tc>
                <w:tcPr>
                  <w:tcW w:w="2880" w:type="dxa"/>
                </w:tcPr>
                <w:p w14:paraId="2D7B7719" w14:textId="6BF175F6" w:rsidR="00301804" w:rsidRPr="00EC33A1" w:rsidRDefault="00301804" w:rsidP="00301804">
                  <w:pPr>
                    <w:rPr>
                      <w:rFonts w:ascii="Helvetica" w:hAnsi="Helvetica" w:cs="Helvetica"/>
                    </w:rPr>
                  </w:pPr>
                  <w:r w:rsidRPr="00EC33A1">
                    <w:rPr>
                      <w:rFonts w:ascii="Helvetica" w:hAnsi="Helvetica" w:cs="Helvetica"/>
                    </w:rPr>
                    <w:t>Obligación de implementar el control interno</w:t>
                  </w:r>
                  <w:r w:rsidR="00B252B4">
                    <w:rPr>
                      <w:rFonts w:ascii="Helvetica" w:hAnsi="Helvetica" w:cs="Helvetica"/>
                    </w:rPr>
                    <w:t xml:space="preserve"> en todas las entidades públicas</w:t>
                  </w:r>
                </w:p>
              </w:tc>
            </w:tr>
            <w:tr w:rsidR="00301804" w:rsidRPr="00EC33A1" w14:paraId="6A534992" w14:textId="77777777" w:rsidTr="00EC33A1">
              <w:trPr>
                <w:jc w:val="center"/>
              </w:trPr>
              <w:tc>
                <w:tcPr>
                  <w:tcW w:w="2880" w:type="dxa"/>
                </w:tcPr>
                <w:p w14:paraId="096B1AC0" w14:textId="77777777" w:rsidR="00301804" w:rsidRPr="00EC33A1" w:rsidRDefault="00301804" w:rsidP="00301804">
                  <w:pPr>
                    <w:rPr>
                      <w:rFonts w:ascii="Helvetica" w:hAnsi="Helvetica" w:cs="Helvetica"/>
                    </w:rPr>
                  </w:pPr>
                  <w:r w:rsidRPr="00EC33A1">
                    <w:rPr>
                      <w:rFonts w:ascii="Helvetica" w:hAnsi="Helvetica" w:cs="Helvetica"/>
                    </w:rPr>
                    <w:t>Ley 489 de 1998 - Art. 4</w:t>
                  </w:r>
                </w:p>
              </w:tc>
              <w:tc>
                <w:tcPr>
                  <w:tcW w:w="2880" w:type="dxa"/>
                </w:tcPr>
                <w:p w14:paraId="6CEDF1F8" w14:textId="77777777" w:rsidR="00301804" w:rsidRPr="00EC33A1" w:rsidRDefault="00301804" w:rsidP="00301804">
                  <w:pPr>
                    <w:rPr>
                      <w:rFonts w:ascii="Helvetica" w:hAnsi="Helvetica" w:cs="Helvetica"/>
                    </w:rPr>
                  </w:pPr>
                  <w:r w:rsidRPr="00EC33A1">
                    <w:rPr>
                      <w:rFonts w:ascii="Helvetica" w:hAnsi="Helvetica" w:cs="Helvetica"/>
                    </w:rPr>
                    <w:t>29 de diciembre de 1998</w:t>
                  </w:r>
                </w:p>
              </w:tc>
              <w:tc>
                <w:tcPr>
                  <w:tcW w:w="2880" w:type="dxa"/>
                </w:tcPr>
                <w:p w14:paraId="7F689619" w14:textId="77777777" w:rsidR="00301804" w:rsidRPr="00EC33A1" w:rsidRDefault="00301804" w:rsidP="00301804">
                  <w:pPr>
                    <w:rPr>
                      <w:rFonts w:ascii="Helvetica" w:hAnsi="Helvetica" w:cs="Helvetica"/>
                    </w:rPr>
                  </w:pPr>
                  <w:r w:rsidRPr="00EC33A1">
                    <w:rPr>
                      <w:rFonts w:ascii="Helvetica" w:hAnsi="Helvetica" w:cs="Helvetica"/>
                    </w:rPr>
                    <w:t>Finalidad de la función administrativa en el Estado</w:t>
                  </w:r>
                </w:p>
              </w:tc>
            </w:tr>
            <w:tr w:rsidR="00301804" w:rsidRPr="00EC33A1" w14:paraId="53E7FF03" w14:textId="77777777" w:rsidTr="00EC33A1">
              <w:trPr>
                <w:jc w:val="center"/>
              </w:trPr>
              <w:tc>
                <w:tcPr>
                  <w:tcW w:w="2880" w:type="dxa"/>
                </w:tcPr>
                <w:p w14:paraId="183A560F" w14:textId="77777777" w:rsidR="00301804" w:rsidRPr="00EC33A1" w:rsidRDefault="00301804" w:rsidP="00301804">
                  <w:pPr>
                    <w:rPr>
                      <w:rFonts w:ascii="Helvetica" w:hAnsi="Helvetica" w:cs="Helvetica"/>
                    </w:rPr>
                  </w:pPr>
                  <w:r w:rsidRPr="00EC33A1">
                    <w:rPr>
                      <w:rFonts w:ascii="Helvetica" w:hAnsi="Helvetica" w:cs="Helvetica"/>
                    </w:rPr>
                    <w:t>Ley 87 de 1993</w:t>
                  </w:r>
                </w:p>
              </w:tc>
              <w:tc>
                <w:tcPr>
                  <w:tcW w:w="2880" w:type="dxa"/>
                </w:tcPr>
                <w:p w14:paraId="11044622" w14:textId="77777777" w:rsidR="00301804" w:rsidRPr="00EC33A1" w:rsidRDefault="00301804" w:rsidP="00301804">
                  <w:pPr>
                    <w:rPr>
                      <w:rFonts w:ascii="Helvetica" w:hAnsi="Helvetica" w:cs="Helvetica"/>
                    </w:rPr>
                  </w:pPr>
                  <w:r w:rsidRPr="00EC33A1">
                    <w:rPr>
                      <w:rFonts w:ascii="Helvetica" w:hAnsi="Helvetica" w:cs="Helvetica"/>
                    </w:rPr>
                    <w:t>29 de diciembre de 1993</w:t>
                  </w:r>
                </w:p>
              </w:tc>
              <w:tc>
                <w:tcPr>
                  <w:tcW w:w="2880" w:type="dxa"/>
                </w:tcPr>
                <w:p w14:paraId="6C03412B" w14:textId="77777777" w:rsidR="00301804" w:rsidRPr="00EC33A1" w:rsidRDefault="00301804" w:rsidP="00301804">
                  <w:pPr>
                    <w:rPr>
                      <w:rFonts w:ascii="Helvetica" w:hAnsi="Helvetica" w:cs="Helvetica"/>
                    </w:rPr>
                  </w:pPr>
                  <w:r w:rsidRPr="00EC33A1">
                    <w:rPr>
                      <w:rFonts w:ascii="Helvetica" w:hAnsi="Helvetica" w:cs="Helvetica"/>
                    </w:rPr>
                    <w:t>Normas generales del Sistema de Control Interno</w:t>
                  </w:r>
                </w:p>
              </w:tc>
            </w:tr>
            <w:tr w:rsidR="00301804" w:rsidRPr="00EC33A1" w14:paraId="140DCB1B" w14:textId="77777777" w:rsidTr="00EC33A1">
              <w:trPr>
                <w:jc w:val="center"/>
              </w:trPr>
              <w:tc>
                <w:tcPr>
                  <w:tcW w:w="2880" w:type="dxa"/>
                </w:tcPr>
                <w:p w14:paraId="062F019E" w14:textId="77777777" w:rsidR="00301804" w:rsidRPr="00EC33A1" w:rsidRDefault="00301804" w:rsidP="00301804">
                  <w:pPr>
                    <w:rPr>
                      <w:rFonts w:ascii="Helvetica" w:hAnsi="Helvetica" w:cs="Helvetica"/>
                    </w:rPr>
                  </w:pPr>
                  <w:r w:rsidRPr="00EC33A1">
                    <w:rPr>
                      <w:rFonts w:ascii="Helvetica" w:hAnsi="Helvetica" w:cs="Helvetica"/>
                    </w:rPr>
                    <w:t>Decreto 1083 de 2015 - Título 21</w:t>
                  </w:r>
                </w:p>
              </w:tc>
              <w:tc>
                <w:tcPr>
                  <w:tcW w:w="2880" w:type="dxa"/>
                </w:tcPr>
                <w:p w14:paraId="545DB09C" w14:textId="77777777" w:rsidR="00301804" w:rsidRPr="00EC33A1" w:rsidRDefault="00301804" w:rsidP="00301804">
                  <w:pPr>
                    <w:rPr>
                      <w:rFonts w:ascii="Helvetica" w:hAnsi="Helvetica" w:cs="Helvetica"/>
                    </w:rPr>
                  </w:pPr>
                  <w:r w:rsidRPr="00EC33A1">
                    <w:rPr>
                      <w:rFonts w:ascii="Helvetica" w:hAnsi="Helvetica" w:cs="Helvetica"/>
                    </w:rPr>
                    <w:t>26 de mayo de 2015</w:t>
                  </w:r>
                </w:p>
              </w:tc>
              <w:tc>
                <w:tcPr>
                  <w:tcW w:w="2880" w:type="dxa"/>
                </w:tcPr>
                <w:p w14:paraId="294D42F0" w14:textId="77777777" w:rsidR="00301804" w:rsidRPr="00EC33A1" w:rsidRDefault="00301804" w:rsidP="00301804">
                  <w:pPr>
                    <w:rPr>
                      <w:rFonts w:ascii="Helvetica" w:hAnsi="Helvetica" w:cs="Helvetica"/>
                    </w:rPr>
                  </w:pPr>
                  <w:r w:rsidRPr="00EC33A1">
                    <w:rPr>
                      <w:rFonts w:ascii="Helvetica" w:hAnsi="Helvetica" w:cs="Helvetica"/>
                    </w:rPr>
                    <w:t>Compilación normativa del sector Función Pública, incluyendo el SCI</w:t>
                  </w:r>
                </w:p>
              </w:tc>
            </w:tr>
            <w:tr w:rsidR="00301804" w:rsidRPr="00EC33A1" w14:paraId="1F4D7786" w14:textId="77777777" w:rsidTr="00EC33A1">
              <w:trPr>
                <w:jc w:val="center"/>
              </w:trPr>
              <w:tc>
                <w:tcPr>
                  <w:tcW w:w="2880" w:type="dxa"/>
                </w:tcPr>
                <w:p w14:paraId="70357D15" w14:textId="77777777" w:rsidR="00301804" w:rsidRPr="00EC33A1" w:rsidRDefault="00301804" w:rsidP="00301804">
                  <w:pPr>
                    <w:rPr>
                      <w:rFonts w:ascii="Helvetica" w:hAnsi="Helvetica" w:cs="Helvetica"/>
                    </w:rPr>
                  </w:pPr>
                  <w:r w:rsidRPr="00EC33A1">
                    <w:rPr>
                      <w:rFonts w:ascii="Helvetica" w:hAnsi="Helvetica" w:cs="Helvetica"/>
                    </w:rPr>
                    <w:t>Decreto 648 de 2017</w:t>
                  </w:r>
                </w:p>
              </w:tc>
              <w:tc>
                <w:tcPr>
                  <w:tcW w:w="2880" w:type="dxa"/>
                </w:tcPr>
                <w:p w14:paraId="4F0C8A43" w14:textId="77777777" w:rsidR="00301804" w:rsidRPr="00EC33A1" w:rsidRDefault="00301804" w:rsidP="00301804">
                  <w:pPr>
                    <w:rPr>
                      <w:rFonts w:ascii="Helvetica" w:hAnsi="Helvetica" w:cs="Helvetica"/>
                    </w:rPr>
                  </w:pPr>
                  <w:r w:rsidRPr="00EC33A1">
                    <w:rPr>
                      <w:rFonts w:ascii="Helvetica" w:hAnsi="Helvetica" w:cs="Helvetica"/>
                    </w:rPr>
                    <w:t>17 de abril de 2017</w:t>
                  </w:r>
                </w:p>
              </w:tc>
              <w:tc>
                <w:tcPr>
                  <w:tcW w:w="2880" w:type="dxa"/>
                </w:tcPr>
                <w:p w14:paraId="2F20FB17" w14:textId="77777777" w:rsidR="00301804" w:rsidRPr="00EC33A1" w:rsidRDefault="00301804" w:rsidP="00301804">
                  <w:pPr>
                    <w:rPr>
                      <w:rFonts w:ascii="Helvetica" w:hAnsi="Helvetica" w:cs="Helvetica"/>
                    </w:rPr>
                  </w:pPr>
                  <w:r w:rsidRPr="00EC33A1">
                    <w:rPr>
                      <w:rFonts w:ascii="Helvetica" w:hAnsi="Helvetica" w:cs="Helvetica"/>
                    </w:rPr>
                    <w:t>Modifica y fortalece disposiciones del Título 21 sobre el SCI</w:t>
                  </w:r>
                </w:p>
              </w:tc>
            </w:tr>
            <w:tr w:rsidR="00301804" w:rsidRPr="00EC33A1" w14:paraId="459DC770" w14:textId="77777777" w:rsidTr="00EC33A1">
              <w:trPr>
                <w:jc w:val="center"/>
              </w:trPr>
              <w:tc>
                <w:tcPr>
                  <w:tcW w:w="2880" w:type="dxa"/>
                </w:tcPr>
                <w:p w14:paraId="79EF252B" w14:textId="61D6C77F" w:rsidR="00301804" w:rsidRPr="00EC33A1" w:rsidRDefault="00B252B4" w:rsidP="00301804">
                  <w:pPr>
                    <w:rPr>
                      <w:rFonts w:ascii="Helvetica" w:hAnsi="Helvetica" w:cs="Helvetica"/>
                    </w:rPr>
                  </w:pPr>
                  <w:r w:rsidRPr="00EC33A1">
                    <w:rPr>
                      <w:rFonts w:ascii="Helvetica" w:hAnsi="Helvetica" w:cs="Helvetica"/>
                    </w:rPr>
                    <w:t xml:space="preserve">Decreto </w:t>
                  </w:r>
                  <w:r>
                    <w:rPr>
                      <w:rFonts w:ascii="Helvetica" w:hAnsi="Helvetica" w:cs="Helvetica"/>
                    </w:rPr>
                    <w:t>1499</w:t>
                  </w:r>
                  <w:r w:rsidRPr="00EC33A1">
                    <w:rPr>
                      <w:rFonts w:ascii="Helvetica" w:hAnsi="Helvetica" w:cs="Helvetica"/>
                    </w:rPr>
                    <w:t xml:space="preserve"> de 2017</w:t>
                  </w:r>
                </w:p>
              </w:tc>
              <w:tc>
                <w:tcPr>
                  <w:tcW w:w="2880" w:type="dxa"/>
                </w:tcPr>
                <w:p w14:paraId="6671EC7D" w14:textId="394F11F5" w:rsidR="00301804" w:rsidRPr="00EC33A1" w:rsidRDefault="00B252B4" w:rsidP="00301804">
                  <w:pPr>
                    <w:rPr>
                      <w:rFonts w:ascii="Helvetica" w:hAnsi="Helvetica" w:cs="Helvetica"/>
                    </w:rPr>
                  </w:pPr>
                  <w:r w:rsidRPr="00EC33A1">
                    <w:rPr>
                      <w:rFonts w:ascii="Helvetica" w:hAnsi="Helvetica" w:cs="Helvetica"/>
                    </w:rPr>
                    <w:t>1</w:t>
                  </w:r>
                  <w:r>
                    <w:rPr>
                      <w:rFonts w:ascii="Helvetica" w:hAnsi="Helvetica" w:cs="Helvetica"/>
                    </w:rPr>
                    <w:t>1</w:t>
                  </w:r>
                  <w:r w:rsidRPr="00EC33A1">
                    <w:rPr>
                      <w:rFonts w:ascii="Helvetica" w:hAnsi="Helvetica" w:cs="Helvetica"/>
                    </w:rPr>
                    <w:t xml:space="preserve"> de </w:t>
                  </w:r>
                  <w:r>
                    <w:rPr>
                      <w:rFonts w:ascii="Helvetica" w:hAnsi="Helvetica" w:cs="Helvetica"/>
                    </w:rPr>
                    <w:t>septiembre</w:t>
                  </w:r>
                  <w:r w:rsidRPr="00EC33A1">
                    <w:rPr>
                      <w:rFonts w:ascii="Helvetica" w:hAnsi="Helvetica" w:cs="Helvetica"/>
                    </w:rPr>
                    <w:t xml:space="preserve"> de 2017</w:t>
                  </w:r>
                </w:p>
              </w:tc>
              <w:tc>
                <w:tcPr>
                  <w:tcW w:w="2880" w:type="dxa"/>
                </w:tcPr>
                <w:p w14:paraId="3B8A59A4" w14:textId="0F8EA8F6" w:rsidR="00301804" w:rsidRPr="00EC33A1" w:rsidRDefault="00B252B4" w:rsidP="00301804">
                  <w:pPr>
                    <w:rPr>
                      <w:rFonts w:ascii="Helvetica" w:hAnsi="Helvetica" w:cs="Helvetica"/>
                    </w:rPr>
                  </w:pPr>
                  <w:r w:rsidRPr="00EC33A1">
                    <w:rPr>
                      <w:rFonts w:ascii="Helvetica" w:hAnsi="Helvetica" w:cs="Helvetica"/>
                    </w:rPr>
                    <w:t>Modelo Integrado de Planeación y Gestión (MIPG)</w:t>
                  </w:r>
                  <w:r>
                    <w:rPr>
                      <w:rFonts w:ascii="Helvetica" w:hAnsi="Helvetica" w:cs="Helvetica"/>
                    </w:rPr>
                    <w:t>, articulado Modelo Estándar de Control Interno MECI</w:t>
                  </w:r>
                </w:p>
              </w:tc>
            </w:tr>
          </w:tbl>
          <w:p w14:paraId="12A276AC" w14:textId="77777777" w:rsidR="00301804" w:rsidRDefault="00301804" w:rsidP="00303394">
            <w:pPr>
              <w:jc w:val="both"/>
              <w:rPr>
                <w:rFonts w:ascii="Helvetica" w:hAnsi="Helvetica" w:cs="Helvetica"/>
              </w:rPr>
            </w:pPr>
          </w:p>
          <w:p w14:paraId="3502D01A" w14:textId="77777777" w:rsidR="00301804" w:rsidRDefault="00301804" w:rsidP="00303394">
            <w:pPr>
              <w:jc w:val="both"/>
              <w:rPr>
                <w:rFonts w:ascii="Helvetica" w:hAnsi="Helvetica" w:cs="Helvetica"/>
              </w:rPr>
            </w:pPr>
          </w:p>
          <w:p w14:paraId="25F4B868" w14:textId="569940FE" w:rsidR="004870CB" w:rsidRPr="00301804" w:rsidRDefault="00301804" w:rsidP="00301804">
            <w:pPr>
              <w:pStyle w:val="Prrafodelista"/>
              <w:numPr>
                <w:ilvl w:val="0"/>
                <w:numId w:val="4"/>
              </w:numPr>
              <w:jc w:val="both"/>
              <w:rPr>
                <w:rFonts w:ascii="Helvetica" w:hAnsi="Helvetica" w:cs="Helvetica"/>
              </w:rPr>
            </w:pPr>
            <w:r w:rsidRPr="00301804">
              <w:rPr>
                <w:rFonts w:ascii="Helvetica" w:hAnsi="Helvetica" w:cs="Helvetica"/>
              </w:rPr>
              <w:t>Referencias</w:t>
            </w:r>
            <w:r w:rsidRPr="00301804">
              <w:rPr>
                <w:rFonts w:ascii="Helvetica" w:hAnsi="Helvetica" w:cs="Helvetica"/>
              </w:rPr>
              <w:br/>
            </w:r>
            <w:r w:rsidRPr="00301804">
              <w:rPr>
                <w:rFonts w:ascii="Helvetica" w:hAnsi="Helvetica" w:cs="Helvetica"/>
              </w:rPr>
              <w:br/>
              <w:t>Congreso de Colombia. (1993). *Ley 87 de 1993. Por la cual se establecen normas para el ejercicio del control interno en las entidades y organismos del Estado*. Diario Oficial No. 41.146.</w:t>
            </w:r>
            <w:r w:rsidRPr="00301804">
              <w:rPr>
                <w:rFonts w:ascii="Helvetica" w:hAnsi="Helvetica" w:cs="Helvetica"/>
              </w:rPr>
              <w:br/>
            </w:r>
            <w:r w:rsidRPr="00301804">
              <w:rPr>
                <w:rFonts w:ascii="Helvetica" w:hAnsi="Helvetica" w:cs="Helvetica"/>
              </w:rPr>
              <w:lastRenderedPageBreak/>
              <w:br/>
              <w:t>Congreso de Colombia. (1998). *Ley 489 de 1998. Por la cual se dictan normas sobre la organización y funcionamiento de las entidades del orden nacional*. Diario Oficial No. 43.464.</w:t>
            </w:r>
            <w:r w:rsidRPr="00301804">
              <w:rPr>
                <w:rFonts w:ascii="Helvetica" w:hAnsi="Helvetica" w:cs="Helvetica"/>
              </w:rPr>
              <w:br/>
            </w:r>
            <w:r w:rsidRPr="00301804">
              <w:rPr>
                <w:rFonts w:ascii="Helvetica" w:hAnsi="Helvetica" w:cs="Helvetica"/>
              </w:rPr>
              <w:br/>
              <w:t>Constitución Política de Colombia. (1991). República de Colombia.</w:t>
            </w:r>
            <w:r w:rsidRPr="00301804">
              <w:rPr>
                <w:rFonts w:ascii="Helvetica" w:hAnsi="Helvetica" w:cs="Helvetica"/>
              </w:rPr>
              <w:br/>
            </w:r>
            <w:r w:rsidRPr="00301804">
              <w:rPr>
                <w:rFonts w:ascii="Helvetica" w:hAnsi="Helvetica" w:cs="Helvetica"/>
              </w:rPr>
              <w:br/>
            </w:r>
            <w:r w:rsidR="00852190">
              <w:rPr>
                <w:rFonts w:ascii="Helvetica" w:hAnsi="Helvetica" w:cs="Helvetica"/>
              </w:rPr>
              <w:t>Función Pública</w:t>
            </w:r>
            <w:r w:rsidRPr="00301804">
              <w:rPr>
                <w:rFonts w:ascii="Helvetica" w:hAnsi="Helvetica" w:cs="Helvetica"/>
              </w:rPr>
              <w:t>. (2025). *Documento de actualización del Modelo Integrado de Planeación y Gestión (MIPG)*. Propuesta para discusión pública.</w:t>
            </w:r>
            <w:r w:rsidRPr="00301804">
              <w:rPr>
                <w:rFonts w:ascii="Helvetica" w:hAnsi="Helvetica" w:cs="Helvetica"/>
              </w:rPr>
              <w:br/>
            </w:r>
            <w:r w:rsidRPr="00301804">
              <w:rPr>
                <w:rFonts w:ascii="Helvetica" w:hAnsi="Helvetica" w:cs="Helvetica"/>
              </w:rPr>
              <w:br/>
              <w:t>Presidencia de la República. (2015). *Decreto 1083 de 2015. Por medio del cual se expide el Decreto Único Reglamentario del Sector de la Función Pública*. Diario Oficial No. 49.523.</w:t>
            </w:r>
            <w:r w:rsidRPr="00301804">
              <w:rPr>
                <w:rFonts w:ascii="Helvetica" w:hAnsi="Helvetica" w:cs="Helvetica"/>
              </w:rPr>
              <w:br/>
            </w:r>
            <w:r w:rsidRPr="00301804">
              <w:rPr>
                <w:rFonts w:ascii="Helvetica" w:hAnsi="Helvetica" w:cs="Helvetica"/>
              </w:rPr>
              <w:br/>
              <w:t>Presidencia de la República. (2017). *Decreto 648 de 2017. Por el cual se modifica el Decreto 1083 de 2015 en lo relacionado con el Sistema de Control Interno*. Diario Oficial No. 50.220.</w:t>
            </w:r>
            <w:r>
              <w:br/>
            </w:r>
          </w:p>
          <w:p w14:paraId="103CD953" w14:textId="77777777" w:rsidR="00303394" w:rsidRDefault="00641778" w:rsidP="00F02C2A">
            <w:pPr>
              <w:jc w:val="both"/>
              <w:rPr>
                <w:rFonts w:ascii="Helvetica" w:hAnsi="Helvetica" w:cs="Helvetica"/>
                <w:b/>
              </w:rPr>
            </w:pPr>
            <w:r w:rsidRPr="00641778">
              <w:rPr>
                <w:rFonts w:ascii="Helvetica" w:hAnsi="Helvetica" w:cs="Helvetica"/>
                <w:b/>
              </w:rPr>
              <w:t>ANTECEDENTES Y RAZONES DE OPORTUNIDAD Y CONVENIENCIA QUE JUSTIFICAN</w:t>
            </w:r>
            <w:r>
              <w:rPr>
                <w:rFonts w:ascii="Helvetica" w:hAnsi="Helvetica" w:cs="Helvetica"/>
                <w:b/>
              </w:rPr>
              <w:t xml:space="preserve"> LA DEROGATORIA DEL CAPÍTULO 7 DEL </w:t>
            </w:r>
            <w:r w:rsidR="003B65C4" w:rsidRPr="003B65C4">
              <w:rPr>
                <w:rFonts w:ascii="Helvetica" w:hAnsi="Helvetica" w:cs="Helvetica"/>
                <w:b/>
              </w:rPr>
              <w:t>CAPÍTULO 7 DEL TÍTULO 21 DE LA PARTE 2 DEL LIBRO 2 DEL DECRETO 1083 DE 2015</w:t>
            </w:r>
          </w:p>
          <w:p w14:paraId="408854C4" w14:textId="77777777" w:rsidR="003B65C4" w:rsidRDefault="003B65C4" w:rsidP="00F02C2A">
            <w:pPr>
              <w:jc w:val="both"/>
              <w:rPr>
                <w:rFonts w:ascii="Helvetica" w:hAnsi="Helvetica" w:cs="Helvetica"/>
                <w:b/>
              </w:rPr>
            </w:pPr>
          </w:p>
          <w:p w14:paraId="74F73DFE" w14:textId="77777777" w:rsidR="003B65C4" w:rsidRDefault="004B59BF" w:rsidP="00F02C2A">
            <w:pPr>
              <w:jc w:val="both"/>
              <w:rPr>
                <w:rFonts w:ascii="Helvetica" w:hAnsi="Helvetica" w:cs="Helvetica"/>
                <w:bCs/>
              </w:rPr>
            </w:pPr>
            <w:r w:rsidRPr="004B59BF">
              <w:rPr>
                <w:rFonts w:ascii="Helvetica" w:hAnsi="Helvetica" w:cs="Helvetica"/>
                <w:bCs/>
              </w:rPr>
              <w:t>Como consecuencia del dialogo permanente con la Secretaría de Transparencia de la Presidencia de la República</w:t>
            </w:r>
            <w:r>
              <w:rPr>
                <w:rFonts w:ascii="Helvetica" w:hAnsi="Helvetica" w:cs="Helvetica"/>
                <w:bCs/>
              </w:rPr>
              <w:t xml:space="preserve">, se identificó que la Red anticorrupción, creada mediante el Decreto </w:t>
            </w:r>
            <w:r w:rsidR="00C42853">
              <w:rPr>
                <w:rFonts w:ascii="Helvetica" w:hAnsi="Helvetica" w:cs="Helvetica"/>
                <w:bCs/>
              </w:rPr>
              <w:t>648 de 2017, no estaba cumpliendo con su propósito</w:t>
            </w:r>
            <w:r w:rsidR="005836C8">
              <w:rPr>
                <w:rFonts w:ascii="Helvetica" w:hAnsi="Helvetica" w:cs="Helvetica"/>
                <w:bCs/>
              </w:rPr>
              <w:t xml:space="preserve">. Desde la expedición del decreto </w:t>
            </w:r>
            <w:r w:rsidR="008D7690">
              <w:rPr>
                <w:rFonts w:ascii="Helvetica" w:hAnsi="Helvetica" w:cs="Helvetica"/>
                <w:bCs/>
              </w:rPr>
              <w:t xml:space="preserve">en 2017, </w:t>
            </w:r>
            <w:r w:rsidR="00C05163">
              <w:rPr>
                <w:rFonts w:ascii="Helvetica" w:hAnsi="Helvetica" w:cs="Helvetica"/>
                <w:bCs/>
              </w:rPr>
              <w:t xml:space="preserve">a 2025, la Red no había sesionado de forma periódica, </w:t>
            </w:r>
            <w:r w:rsidR="002335DB">
              <w:rPr>
                <w:rFonts w:ascii="Helvetica" w:hAnsi="Helvetica" w:cs="Helvetica"/>
                <w:bCs/>
              </w:rPr>
              <w:t xml:space="preserve">no se pudieron rastrear resultados concretos de su existencia </w:t>
            </w:r>
            <w:r w:rsidR="00E5695F">
              <w:rPr>
                <w:rFonts w:ascii="Helvetica" w:hAnsi="Helvetica" w:cs="Helvetica"/>
                <w:bCs/>
              </w:rPr>
              <w:t xml:space="preserve">y las modificaciones normativas de los últimos años </w:t>
            </w:r>
            <w:r w:rsidR="006D20F0">
              <w:rPr>
                <w:rFonts w:ascii="Helvetica" w:hAnsi="Helvetica" w:cs="Helvetica"/>
                <w:bCs/>
              </w:rPr>
              <w:t xml:space="preserve">sugerían la necesidad de reenfocar la forma en que el Sistema de Control Interno podía contribuir </w:t>
            </w:r>
            <w:r w:rsidR="008D7690">
              <w:rPr>
                <w:rFonts w:ascii="Helvetica" w:hAnsi="Helvetica" w:cs="Helvetica"/>
                <w:bCs/>
              </w:rPr>
              <w:t>a la lucha contra la Corrupción.</w:t>
            </w:r>
          </w:p>
          <w:p w14:paraId="71FA51A7" w14:textId="77777777" w:rsidR="008D7690" w:rsidRDefault="008D7690" w:rsidP="00F02C2A">
            <w:pPr>
              <w:jc w:val="both"/>
              <w:rPr>
                <w:rFonts w:ascii="Helvetica" w:hAnsi="Helvetica" w:cs="Helvetica"/>
                <w:bCs/>
              </w:rPr>
            </w:pPr>
          </w:p>
          <w:p w14:paraId="2FDEC5F2" w14:textId="77777777" w:rsidR="008D7690" w:rsidRDefault="008D7690" w:rsidP="00F02C2A">
            <w:pPr>
              <w:jc w:val="both"/>
              <w:rPr>
                <w:rFonts w:ascii="Helvetica" w:hAnsi="Helvetica" w:cs="Helvetica"/>
                <w:bCs/>
              </w:rPr>
            </w:pPr>
            <w:r>
              <w:rPr>
                <w:rFonts w:ascii="Helvetica" w:hAnsi="Helvetica" w:cs="Helvetica"/>
                <w:bCs/>
              </w:rPr>
              <w:t>En 202</w:t>
            </w:r>
            <w:r w:rsidR="00F71907">
              <w:rPr>
                <w:rFonts w:ascii="Helvetica" w:hAnsi="Helvetica" w:cs="Helvetica"/>
                <w:bCs/>
              </w:rPr>
              <w:t>5 la Secretaría de Transparencia se propuso reactiva</w:t>
            </w:r>
            <w:r w:rsidR="00A21074">
              <w:rPr>
                <w:rFonts w:ascii="Helvetica" w:hAnsi="Helvetica" w:cs="Helvetica"/>
                <w:bCs/>
              </w:rPr>
              <w:t>r</w:t>
            </w:r>
            <w:r w:rsidR="00F71907">
              <w:rPr>
                <w:rFonts w:ascii="Helvetica" w:hAnsi="Helvetica" w:cs="Helvetica"/>
                <w:bCs/>
              </w:rPr>
              <w:t xml:space="preserve"> la Red anticorrupción, para ese propósito formuló un reglamento operativo y llevó a cabo una primera sesión plenaria. C</w:t>
            </w:r>
            <w:r w:rsidR="001208B0">
              <w:rPr>
                <w:rFonts w:ascii="Helvetica" w:hAnsi="Helvetica" w:cs="Helvetica"/>
                <w:bCs/>
              </w:rPr>
              <w:t>omo c</w:t>
            </w:r>
            <w:r w:rsidR="00F71907">
              <w:rPr>
                <w:rFonts w:ascii="Helvetica" w:hAnsi="Helvetica" w:cs="Helvetica"/>
                <w:bCs/>
              </w:rPr>
              <w:t xml:space="preserve">onsecuencia de </w:t>
            </w:r>
            <w:r w:rsidR="00A21074">
              <w:rPr>
                <w:rFonts w:ascii="Helvetica" w:hAnsi="Helvetica" w:cs="Helvetica"/>
                <w:bCs/>
              </w:rPr>
              <w:t>este trabajo</w:t>
            </w:r>
            <w:r w:rsidR="00F71907">
              <w:rPr>
                <w:rFonts w:ascii="Helvetica" w:hAnsi="Helvetica" w:cs="Helvetica"/>
                <w:bCs/>
              </w:rPr>
              <w:t xml:space="preserve">, </w:t>
            </w:r>
            <w:r w:rsidR="00A21074">
              <w:rPr>
                <w:rFonts w:ascii="Helvetica" w:hAnsi="Helvetica" w:cs="Helvetica"/>
                <w:bCs/>
              </w:rPr>
              <w:t>se identificó que la existencia de la Red podría ser redundante en la medida que se fortaleciera</w:t>
            </w:r>
            <w:r w:rsidR="0085085C">
              <w:rPr>
                <w:rFonts w:ascii="Helvetica" w:hAnsi="Helvetica" w:cs="Helvetica"/>
                <w:bCs/>
              </w:rPr>
              <w:t xml:space="preserve"> el rol de</w:t>
            </w:r>
            <w:r w:rsidR="00A21074">
              <w:rPr>
                <w:rFonts w:ascii="Helvetica" w:hAnsi="Helvetica" w:cs="Helvetica"/>
                <w:bCs/>
              </w:rPr>
              <w:t xml:space="preserve"> los comités sectoriales, departamentales, distritales y municipales de auditoría. </w:t>
            </w:r>
            <w:r w:rsidR="0085085C">
              <w:rPr>
                <w:rFonts w:ascii="Helvetica" w:hAnsi="Helvetica" w:cs="Helvetica"/>
                <w:bCs/>
              </w:rPr>
              <w:t xml:space="preserve">Estas instancias </w:t>
            </w:r>
            <w:r w:rsidR="00FB54E9">
              <w:rPr>
                <w:rFonts w:ascii="Helvetica" w:hAnsi="Helvetica" w:cs="Helvetica"/>
                <w:bCs/>
              </w:rPr>
              <w:t xml:space="preserve">son espacios de articulación que están más incorporados en el Sistema de Control Interno, en consecuencia, </w:t>
            </w:r>
            <w:r w:rsidR="003C1C9F">
              <w:rPr>
                <w:rFonts w:ascii="Helvetica" w:hAnsi="Helvetica" w:cs="Helvetica"/>
                <w:bCs/>
              </w:rPr>
              <w:t>es más conveniente para la administración fortalecer estos comités, que empezar, casi desde cero, un trabajo con la Red anticorrupción.</w:t>
            </w:r>
          </w:p>
          <w:p w14:paraId="4DB49EC7" w14:textId="77777777" w:rsidR="003C1C9F" w:rsidRDefault="003C1C9F" w:rsidP="00F02C2A">
            <w:pPr>
              <w:jc w:val="both"/>
              <w:rPr>
                <w:rFonts w:ascii="Helvetica" w:hAnsi="Helvetica" w:cs="Helvetica"/>
                <w:bCs/>
              </w:rPr>
            </w:pPr>
          </w:p>
          <w:p w14:paraId="23306DF2" w14:textId="61117097" w:rsidR="007B518C" w:rsidRPr="004B59BF" w:rsidRDefault="003C1C9F" w:rsidP="007B518C">
            <w:pPr>
              <w:jc w:val="both"/>
              <w:rPr>
                <w:rFonts w:ascii="Helvetica" w:hAnsi="Helvetica" w:cs="Helvetica"/>
                <w:bCs/>
              </w:rPr>
            </w:pPr>
            <w:r>
              <w:rPr>
                <w:rFonts w:ascii="Helvetica" w:hAnsi="Helvetica" w:cs="Helvetica"/>
                <w:bCs/>
              </w:rPr>
              <w:t xml:space="preserve">Por estas razones, es que se propone derogar el </w:t>
            </w:r>
            <w:r w:rsidRPr="003C1C9F">
              <w:rPr>
                <w:rFonts w:ascii="Helvetica" w:hAnsi="Helvetica" w:cs="Helvetica"/>
                <w:bCs/>
              </w:rPr>
              <w:t>Capítulo 7 del Título 21 de la Parte 2 del Libro 2 del Decreto 1083 de 2015</w:t>
            </w:r>
            <w:r>
              <w:rPr>
                <w:rFonts w:ascii="Helvetica" w:hAnsi="Helvetica" w:cs="Helvetica"/>
                <w:bCs/>
              </w:rPr>
              <w:t xml:space="preserve">, que desarrolla </w:t>
            </w:r>
            <w:r w:rsidR="00C13E8C">
              <w:rPr>
                <w:rFonts w:ascii="Helvetica" w:hAnsi="Helvetica" w:cs="Helvetica"/>
                <w:bCs/>
              </w:rPr>
              <w:t xml:space="preserve">la Red anticorrupción, y se propone adicionar un artículo al </w:t>
            </w:r>
            <w:r w:rsidR="00840014" w:rsidRPr="00840014">
              <w:rPr>
                <w:rFonts w:ascii="Helvetica" w:hAnsi="Helvetica" w:cs="Helvetica"/>
                <w:bCs/>
              </w:rPr>
              <w:t>Capítulo 3 del Título 21 de la Parte 2 del Libro 2 del Decreto 1083 de 201</w:t>
            </w:r>
            <w:r w:rsidR="00840014">
              <w:rPr>
                <w:rFonts w:ascii="Helvetica" w:hAnsi="Helvetica" w:cs="Helvetica"/>
                <w:bCs/>
              </w:rPr>
              <w:t xml:space="preserve">5, que señala claramente la forma en que los comités interinstitucionales de auditoría </w:t>
            </w:r>
            <w:r w:rsidR="007B518C">
              <w:rPr>
                <w:rFonts w:ascii="Helvetica" w:hAnsi="Helvetica" w:cs="Helvetica"/>
                <w:bCs/>
              </w:rPr>
              <w:t xml:space="preserve">contribuirán a la implementación de la política pública de lucha contra la Corrupción. Este nuevo artículo, detalla que al menos dos sesiones de los comités de auditoría deberán dedicarse a desarrollar la política pública de lucha contra la Corrupción y relaciona una serie de asuntos que deben ser objeto de discusión en estos espacios. Además, faculta a que, de forma articulada, el Departamento Administrativo de la Función Pública y la Secretaría de Transparencia complementen este mandato por vía de documentos técnicos y una reglamentación derivada. </w:t>
            </w:r>
            <w:r w:rsidR="00291062">
              <w:rPr>
                <w:rFonts w:ascii="Helvetica" w:hAnsi="Helvetica" w:cs="Helvetica"/>
                <w:bCs/>
              </w:rPr>
              <w:t xml:space="preserve">Esta medida se considera más conveniente, respecto de la Red anticorrupción, en la medida que optimiza el trabajo que realizan </w:t>
            </w:r>
            <w:r w:rsidR="008870A9">
              <w:rPr>
                <w:rFonts w:ascii="Helvetica" w:hAnsi="Helvetica" w:cs="Helvetica"/>
                <w:bCs/>
              </w:rPr>
              <w:t>los jefes de control interno en unos espacios de articulación preexistentes</w:t>
            </w:r>
            <w:r w:rsidR="00EB3039">
              <w:rPr>
                <w:rFonts w:ascii="Helvetica" w:hAnsi="Helvetica" w:cs="Helvetica"/>
                <w:bCs/>
              </w:rPr>
              <w:t xml:space="preserve">. Además, permite que se fortalezca el seguimiento a la operación de los comités de auditoría, que además de contribuir a la lucha contra la Corrupción, cumplen un importante propósito en el fortalecimiento </w:t>
            </w:r>
            <w:r w:rsidR="00354B0F">
              <w:rPr>
                <w:rFonts w:ascii="Helvetica" w:hAnsi="Helvetica" w:cs="Helvetica"/>
                <w:bCs/>
              </w:rPr>
              <w:t>del Sistema de Control Interno desde una dimensión interinstitucional.</w:t>
            </w:r>
          </w:p>
        </w:tc>
      </w:tr>
      <w:tr w:rsidR="000B7BE2" w:rsidRPr="007C7DB4" w14:paraId="7C5F4B25" w14:textId="77777777" w:rsidTr="221773A6">
        <w:trPr>
          <w:trHeight w:val="989"/>
        </w:trPr>
        <w:tc>
          <w:tcPr>
            <w:tcW w:w="11199" w:type="dxa"/>
            <w:gridSpan w:val="3"/>
            <w:vAlign w:val="center"/>
          </w:tcPr>
          <w:p w14:paraId="75337C51" w14:textId="77777777" w:rsidR="000B7BE2" w:rsidRPr="00F02C2A" w:rsidRDefault="000B7BE2" w:rsidP="000B7BE2">
            <w:pPr>
              <w:jc w:val="both"/>
              <w:rPr>
                <w:rFonts w:ascii="Helvetica" w:hAnsi="Helvetica" w:cs="Helvetica"/>
                <w:b/>
              </w:rPr>
            </w:pPr>
            <w:r>
              <w:rPr>
                <w:rFonts w:ascii="Helvetica" w:hAnsi="Helvetica" w:cs="Helvetica"/>
                <w:b/>
              </w:rPr>
              <w:lastRenderedPageBreak/>
              <w:t>II</w:t>
            </w:r>
            <w:r w:rsidRPr="00F02C2A">
              <w:rPr>
                <w:rFonts w:ascii="Helvetica" w:hAnsi="Helvetica" w:cs="Helvetica"/>
                <w:b/>
              </w:rPr>
              <w:t xml:space="preserve">. </w:t>
            </w:r>
            <w:r w:rsidRPr="000B7BE2">
              <w:rPr>
                <w:rFonts w:ascii="Helvetica" w:hAnsi="Helvetica" w:cs="Helvetica"/>
                <w:b/>
              </w:rPr>
              <w:t>AMBITO DE APLICACIÓN DEL RESPECTIVO ACTO Y SUJETO A QUIEN VA DIRIGIDO</w:t>
            </w:r>
            <w:r w:rsidRPr="00F02C2A">
              <w:rPr>
                <w:rFonts w:ascii="Helvetica" w:hAnsi="Helvetica" w:cs="Helvetica"/>
                <w:b/>
              </w:rPr>
              <w:t>.</w:t>
            </w:r>
          </w:p>
          <w:p w14:paraId="53351FF8" w14:textId="77777777" w:rsidR="000B7BE2" w:rsidRDefault="000B7BE2" w:rsidP="00303394">
            <w:pPr>
              <w:jc w:val="both"/>
              <w:rPr>
                <w:rFonts w:ascii="Helvetica" w:hAnsi="Helvetica" w:cs="Helvetica"/>
                <w:b/>
              </w:rPr>
            </w:pPr>
          </w:p>
          <w:p w14:paraId="738AADF3" w14:textId="577713EE" w:rsidR="00220194" w:rsidRPr="00220194" w:rsidRDefault="008C5A19" w:rsidP="00220194">
            <w:pPr>
              <w:jc w:val="both"/>
              <w:rPr>
                <w:rFonts w:ascii="Helvetica" w:hAnsi="Helvetica" w:cs="Helvetica"/>
              </w:rPr>
            </w:pPr>
            <w:r>
              <w:rPr>
                <w:rFonts w:ascii="Helvetica" w:hAnsi="Helvetica" w:cs="Helvetica"/>
              </w:rPr>
              <w:t>El presente decreto se aplica</w:t>
            </w:r>
            <w:r w:rsidR="00220194" w:rsidRPr="00220194">
              <w:rPr>
                <w:rFonts w:ascii="Helvetica" w:hAnsi="Helvetica" w:cs="Helvetica"/>
              </w:rPr>
              <w:t xml:space="preserve"> a todos los organismos y entidades del Estado, en sus diferentes órdenes y niveles, así como a los particulares que administren recursos del Estado</w:t>
            </w:r>
            <w:r w:rsidR="00220194">
              <w:rPr>
                <w:rFonts w:ascii="Helvetica" w:hAnsi="Helvetica" w:cs="Helvetica"/>
              </w:rPr>
              <w:t xml:space="preserve">, así mismo </w:t>
            </w:r>
            <w:r w:rsidR="00220194" w:rsidRPr="00220194">
              <w:rPr>
                <w:rFonts w:ascii="Helvetica" w:hAnsi="Helvetica" w:cs="Helvetica"/>
              </w:rPr>
              <w:t xml:space="preserve">serán aplicables en lo pertinente, a </w:t>
            </w:r>
            <w:r w:rsidR="00220194" w:rsidRPr="00220194">
              <w:rPr>
                <w:rFonts w:ascii="Helvetica" w:hAnsi="Helvetica" w:cs="Helvetica"/>
              </w:rPr>
              <w:lastRenderedPageBreak/>
              <w:t>las entidades autónomas y territoriales o sujetas a regímenes especiales en virtud del mandato constitucional</w:t>
            </w:r>
            <w:r w:rsidR="00220194">
              <w:rPr>
                <w:rFonts w:ascii="Helvetica" w:hAnsi="Helvetica" w:cs="Helvetica"/>
              </w:rPr>
              <w:t xml:space="preserve">, de conformidad con lo establecido en el artículo </w:t>
            </w:r>
            <w:r w:rsidR="00220194" w:rsidRPr="00220194">
              <w:rPr>
                <w:rFonts w:ascii="Helvetica" w:hAnsi="Helvetica" w:cs="Helvetica"/>
              </w:rPr>
              <w:t>2.2.21.1.2</w:t>
            </w:r>
            <w:r w:rsidR="00220194">
              <w:rPr>
                <w:rFonts w:ascii="Helvetica" w:hAnsi="Helvetica" w:cs="Helvetica"/>
              </w:rPr>
              <w:t xml:space="preserve"> del </w:t>
            </w:r>
            <w:r w:rsidR="00220194" w:rsidRPr="00220194">
              <w:rPr>
                <w:rFonts w:ascii="Helvetica" w:hAnsi="Helvetica" w:cs="Helvetica"/>
              </w:rPr>
              <w:t>Título</w:t>
            </w:r>
            <w:r w:rsidR="00220194">
              <w:rPr>
                <w:rFonts w:ascii="Helvetica" w:hAnsi="Helvetica" w:cs="Helvetica"/>
              </w:rPr>
              <w:t xml:space="preserve"> 21 del Decreto 1083 de 2015</w:t>
            </w:r>
            <w:r w:rsidR="00220194" w:rsidRPr="00220194">
              <w:rPr>
                <w:rFonts w:ascii="Helvetica" w:hAnsi="Helvetica" w:cs="Helvetica"/>
              </w:rPr>
              <w:t>.</w:t>
            </w:r>
          </w:p>
          <w:p w14:paraId="15691BE1" w14:textId="6A99349E" w:rsidR="008C5A19" w:rsidRPr="008C5A19" w:rsidRDefault="008C5A19" w:rsidP="00220194">
            <w:pPr>
              <w:jc w:val="both"/>
              <w:rPr>
                <w:rFonts w:ascii="Helvetica" w:hAnsi="Helvetica" w:cs="Helvetica"/>
              </w:rPr>
            </w:pPr>
          </w:p>
        </w:tc>
      </w:tr>
      <w:tr w:rsidR="000B7BE2" w:rsidRPr="007C7DB4" w14:paraId="38E8DCF6" w14:textId="77777777" w:rsidTr="221773A6">
        <w:trPr>
          <w:trHeight w:val="989"/>
        </w:trPr>
        <w:tc>
          <w:tcPr>
            <w:tcW w:w="11199" w:type="dxa"/>
            <w:gridSpan w:val="3"/>
            <w:vAlign w:val="center"/>
          </w:tcPr>
          <w:p w14:paraId="6ED2C46C" w14:textId="77777777" w:rsidR="000B7BE2" w:rsidRPr="00220194" w:rsidRDefault="000B7BE2" w:rsidP="000B7BE2">
            <w:pPr>
              <w:jc w:val="both"/>
              <w:rPr>
                <w:rFonts w:ascii="Helvetica" w:hAnsi="Helvetica" w:cs="Helvetica"/>
                <w:b/>
              </w:rPr>
            </w:pPr>
            <w:r w:rsidRPr="00220194">
              <w:rPr>
                <w:rFonts w:ascii="Helvetica" w:hAnsi="Helvetica" w:cs="Helvetica"/>
                <w:b/>
              </w:rPr>
              <w:lastRenderedPageBreak/>
              <w:t>III. VIABILIDAD JURÍDICA</w:t>
            </w:r>
          </w:p>
          <w:p w14:paraId="26C65859" w14:textId="77777777" w:rsidR="000227F8" w:rsidRPr="00220194" w:rsidRDefault="000227F8" w:rsidP="000B7BE2">
            <w:pPr>
              <w:jc w:val="both"/>
              <w:rPr>
                <w:rFonts w:ascii="Helvetica" w:hAnsi="Helvetica" w:cs="Helvetica"/>
              </w:rPr>
            </w:pPr>
          </w:p>
          <w:p w14:paraId="3A4B2093" w14:textId="3AA00D3D" w:rsidR="00852190" w:rsidRDefault="000227F8" w:rsidP="000B7BE2">
            <w:pPr>
              <w:jc w:val="both"/>
              <w:rPr>
                <w:rFonts w:ascii="Helvetica" w:hAnsi="Helvetica" w:cs="Helvetica"/>
              </w:rPr>
            </w:pPr>
            <w:r w:rsidRPr="00220194">
              <w:rPr>
                <w:rFonts w:ascii="Helvetica" w:hAnsi="Helvetica" w:cs="Helvetica"/>
              </w:rPr>
              <w:t xml:space="preserve">El decreto se considera viable jurídicamente teniendo en cuenta que el Presidente de la República es el competente para ejercer la potestad reglamentaria mediante la expedición de decretos, resoluciones y ordenes necesarios para la cumplida ejecución de las leyes. Así mismo, el Gobierno Nacional </w:t>
            </w:r>
            <w:r w:rsidR="00852190">
              <w:rPr>
                <w:rFonts w:ascii="Helvetica" w:hAnsi="Helvetica" w:cs="Helvetica"/>
              </w:rPr>
              <w:t xml:space="preserve">a través del </w:t>
            </w:r>
            <w:r w:rsidR="00852190" w:rsidRPr="00852190">
              <w:rPr>
                <w:rFonts w:ascii="Helvetica" w:hAnsi="Helvetica" w:cs="Helvetica"/>
              </w:rPr>
              <w:t>Departamento Administrativo de la Función Pública, a quien corresponde fijar las políticas de Administración Pública, en especial las relacionadas con Control Interno</w:t>
            </w:r>
            <w:r w:rsidR="00852190">
              <w:rPr>
                <w:rFonts w:ascii="Helvetica" w:hAnsi="Helvetica" w:cs="Helvetica"/>
              </w:rPr>
              <w:t xml:space="preserve">, de conformidad con el literal b) del artículo </w:t>
            </w:r>
            <w:r w:rsidR="00852190" w:rsidRPr="00852190">
              <w:rPr>
                <w:rFonts w:ascii="Helvetica" w:hAnsi="Helvetica" w:cs="Helvetica"/>
              </w:rPr>
              <w:t>2.2.21.2.3</w:t>
            </w:r>
            <w:r w:rsidR="00852190">
              <w:rPr>
                <w:rFonts w:ascii="Helvetica" w:hAnsi="Helvetica" w:cs="Helvetica"/>
              </w:rPr>
              <w:t xml:space="preserve"> del Decreto 1083 de 2015.</w:t>
            </w:r>
          </w:p>
          <w:p w14:paraId="22382494" w14:textId="5AAC85A2" w:rsidR="000227F8" w:rsidRPr="00220194" w:rsidRDefault="000227F8" w:rsidP="000B7BE2">
            <w:pPr>
              <w:jc w:val="both"/>
              <w:rPr>
                <w:rFonts w:ascii="Helvetica" w:hAnsi="Helvetica" w:cs="Helvetica"/>
              </w:rPr>
            </w:pPr>
            <w:r w:rsidRPr="00220194">
              <w:rPr>
                <w:rFonts w:ascii="Helvetica" w:hAnsi="Helvetica" w:cs="Helvetica"/>
              </w:rPr>
              <w:t xml:space="preserve"> </w:t>
            </w:r>
          </w:p>
          <w:p w14:paraId="5134B8AB" w14:textId="77777777" w:rsidR="000227F8" w:rsidRPr="00220194" w:rsidRDefault="000227F8" w:rsidP="000B7BE2">
            <w:pPr>
              <w:jc w:val="both"/>
              <w:rPr>
                <w:rFonts w:ascii="Helvetica" w:hAnsi="Helvetica" w:cs="Helvetica"/>
              </w:rPr>
            </w:pPr>
            <w:r w:rsidRPr="00220194">
              <w:rPr>
                <w:rFonts w:ascii="Helvetica" w:hAnsi="Helvetica" w:cs="Helvetica"/>
              </w:rPr>
              <w:t>3.1 Análisis de las normas que otorgan la competencia para la expedición del proyecto normativo:</w:t>
            </w:r>
          </w:p>
          <w:p w14:paraId="6E9D5AB9" w14:textId="77777777" w:rsidR="000227F8" w:rsidRPr="00220194" w:rsidRDefault="000227F8" w:rsidP="000B7BE2">
            <w:pPr>
              <w:jc w:val="both"/>
              <w:rPr>
                <w:rFonts w:ascii="Helvetica" w:hAnsi="Helvetica" w:cs="Helvetica"/>
              </w:rPr>
            </w:pPr>
          </w:p>
          <w:p w14:paraId="25AE6CE9" w14:textId="77777777" w:rsidR="009A42CA" w:rsidRPr="00220194" w:rsidRDefault="000227F8" w:rsidP="000227F8">
            <w:pPr>
              <w:pStyle w:val="Prrafodelista"/>
              <w:numPr>
                <w:ilvl w:val="0"/>
                <w:numId w:val="1"/>
              </w:numPr>
              <w:jc w:val="both"/>
              <w:rPr>
                <w:rFonts w:ascii="Helvetica" w:hAnsi="Helvetica" w:cs="Helvetica"/>
                <w:i/>
              </w:rPr>
            </w:pPr>
            <w:r w:rsidRPr="00220194">
              <w:rPr>
                <w:rFonts w:ascii="Helvetica" w:hAnsi="Helvetica" w:cs="Helvetica"/>
                <w:b/>
              </w:rPr>
              <w:t>Artículo 189 Numeral 11 C.P:</w:t>
            </w:r>
            <w:r w:rsidRPr="00220194">
              <w:rPr>
                <w:rFonts w:ascii="Helvetica" w:hAnsi="Helvetica" w:cs="Helvetica"/>
              </w:rPr>
              <w:t xml:space="preserve"> </w:t>
            </w:r>
            <w:r w:rsidR="009A42CA" w:rsidRPr="00220194">
              <w:rPr>
                <w:rFonts w:ascii="Helvetica" w:hAnsi="Helvetica" w:cs="Helvetica"/>
                <w:i/>
              </w:rPr>
              <w:t>“Corresponde al Presidente de la República como Jefe de Estado, Jefe del Gobierno y Suprema Autoridad Administrativa:</w:t>
            </w:r>
          </w:p>
          <w:p w14:paraId="2F94EA4E" w14:textId="77777777" w:rsidR="009A42CA" w:rsidRPr="00220194" w:rsidRDefault="009A42CA" w:rsidP="009A42CA">
            <w:pPr>
              <w:pStyle w:val="Prrafodelista"/>
              <w:jc w:val="both"/>
              <w:rPr>
                <w:rFonts w:ascii="Helvetica" w:hAnsi="Helvetica" w:cs="Helvetica"/>
                <w:i/>
              </w:rPr>
            </w:pPr>
            <w:r w:rsidRPr="00220194">
              <w:rPr>
                <w:rFonts w:ascii="Helvetica" w:hAnsi="Helvetica" w:cs="Helvetica"/>
                <w:i/>
              </w:rPr>
              <w:t>(…)</w:t>
            </w:r>
          </w:p>
          <w:p w14:paraId="7EED8CFF" w14:textId="77777777" w:rsidR="000227F8" w:rsidRPr="00220194" w:rsidRDefault="000227F8" w:rsidP="009A42CA">
            <w:pPr>
              <w:pStyle w:val="Prrafodelista"/>
              <w:jc w:val="both"/>
              <w:rPr>
                <w:rFonts w:ascii="Helvetica" w:hAnsi="Helvetica" w:cs="Helvetica"/>
                <w:i/>
              </w:rPr>
            </w:pPr>
            <w:r w:rsidRPr="00220194">
              <w:rPr>
                <w:rFonts w:ascii="Helvetica" w:hAnsi="Helvetica" w:cs="Helvetica"/>
                <w:i/>
              </w:rPr>
              <w:t>“11. Ejercer la potestad reglamentaria, mediante la expedición de los decretos, resoluciones y órdenes necesarios para la cumplida ejecución de las leyes.</w:t>
            </w:r>
            <w:r w:rsidR="009A42CA" w:rsidRPr="00220194">
              <w:rPr>
                <w:rFonts w:ascii="Helvetica" w:hAnsi="Helvetica" w:cs="Helvetica"/>
                <w:i/>
              </w:rPr>
              <w:t>”</w:t>
            </w:r>
          </w:p>
          <w:p w14:paraId="7A470A98" w14:textId="77777777" w:rsidR="009A42CA" w:rsidRPr="00220194" w:rsidRDefault="009A42CA" w:rsidP="009A42CA">
            <w:pPr>
              <w:pStyle w:val="Prrafodelista"/>
              <w:jc w:val="both"/>
              <w:rPr>
                <w:rFonts w:ascii="Helvetica" w:hAnsi="Helvetica" w:cs="Helvetica"/>
              </w:rPr>
            </w:pPr>
          </w:p>
          <w:p w14:paraId="126E6215" w14:textId="77777777" w:rsidR="009A42CA" w:rsidRPr="00220194" w:rsidRDefault="009A42CA" w:rsidP="009A42CA">
            <w:pPr>
              <w:pStyle w:val="Prrafodelista"/>
              <w:jc w:val="both"/>
              <w:rPr>
                <w:rFonts w:ascii="Helvetica" w:hAnsi="Helvetica" w:cs="Helvetica"/>
              </w:rPr>
            </w:pPr>
            <w:r w:rsidRPr="00220194">
              <w:rPr>
                <w:rFonts w:ascii="Helvetica" w:hAnsi="Helvetica" w:cs="Helvetica"/>
              </w:rPr>
              <w:t>La potestad</w:t>
            </w:r>
            <w:r w:rsidR="00BB4D6D" w:rsidRPr="00220194">
              <w:rPr>
                <w:rFonts w:ascii="Helvetica" w:hAnsi="Helvetica" w:cs="Helvetica"/>
              </w:rPr>
              <w:t xml:space="preserve"> reglamentaria es </w:t>
            </w:r>
            <w:r w:rsidR="00BB4D6D" w:rsidRPr="00220194">
              <w:rPr>
                <w:rFonts w:ascii="Helvetica" w:hAnsi="Helvetica" w:cs="Helvetica"/>
                <w:i/>
              </w:rPr>
              <w:t>“(…) la producción de un acto administrativo que hace real el enunciado abstracto de la ley…</w:t>
            </w:r>
            <w:r w:rsidR="00BB4D6D" w:rsidRPr="00220194">
              <w:rPr>
                <w:rFonts w:ascii="Arial Narrow" w:hAnsi="Arial Narrow" w:cs="Helvetica"/>
                <w:i/>
              </w:rPr>
              <w:t>[</w:t>
            </w:r>
            <w:r w:rsidR="00BB4D6D" w:rsidRPr="00220194">
              <w:rPr>
                <w:rFonts w:ascii="Helvetica" w:hAnsi="Helvetica" w:cs="Helvetica"/>
                <w:i/>
              </w:rPr>
              <w:t>para</w:t>
            </w:r>
            <w:r w:rsidR="00BB4D6D" w:rsidRPr="00220194">
              <w:rPr>
                <w:rFonts w:ascii="Arial Narrow" w:hAnsi="Arial Narrow" w:cs="Helvetica"/>
                <w:i/>
              </w:rPr>
              <w:t>]</w:t>
            </w:r>
            <w:r w:rsidR="00BB4D6D" w:rsidRPr="00220194">
              <w:rPr>
                <w:rFonts w:ascii="Arial Narrow" w:hAnsi="Arial Narrow" w:cs="Helvetica"/>
              </w:rPr>
              <w:t xml:space="preserve"> </w:t>
            </w:r>
            <w:r w:rsidR="00BB4D6D" w:rsidRPr="00220194">
              <w:rPr>
                <w:rFonts w:ascii="Helvetica" w:hAnsi="Helvetica" w:cs="Helvetica"/>
                <w:i/>
              </w:rPr>
              <w:t xml:space="preserve">encauzarla hacia la operatividad efectiva en el plano de lo real (…)”. </w:t>
            </w:r>
            <w:r w:rsidR="00BB4D6D" w:rsidRPr="00220194">
              <w:rPr>
                <w:rFonts w:ascii="Helvetica" w:hAnsi="Helvetica" w:cs="Helvetica"/>
              </w:rPr>
              <w:t>Tal facultad se concentra en la expedición de las normas de carácter general que sean necesarias para la cumplida ejecución de las leyes, pertenece, en principio, por atribución constitucional al Presidente de la República, sin necesidad de que la ley así lo determine en cada caso. Dentro del sistema de fuentes de nuestro ordenamiento jurídico, la potestad reglamentaria tiene un lugar propio.  Por virtud de ella el</w:t>
            </w:r>
            <w:r w:rsidR="00BB4D6D" w:rsidRPr="00220194">
              <w:t xml:space="preserve"> </w:t>
            </w:r>
            <w:r w:rsidR="00BB4D6D" w:rsidRPr="00220194">
              <w:rPr>
                <w:rFonts w:ascii="Helvetica" w:hAnsi="Helvetica" w:cs="Helvetica"/>
              </w:rPr>
              <w:t>Presidente de la República expide normas de carácter general, subordinadas a la ley y orientadas a permitir su cumplida aplicación. Tales normas revisten, además, una forma especial, y se expiden con la firma del Presidente y el Ministro o Director de Departamento Administrativo del ramo. (Sentencia C-810/14).</w:t>
            </w:r>
          </w:p>
          <w:p w14:paraId="2FB572A8" w14:textId="77777777" w:rsidR="00BB4D6D" w:rsidRPr="00220194" w:rsidRDefault="00BB4D6D" w:rsidP="009A42CA">
            <w:pPr>
              <w:pStyle w:val="Prrafodelista"/>
              <w:jc w:val="both"/>
              <w:rPr>
                <w:rFonts w:ascii="Helvetica" w:hAnsi="Helvetica" w:cs="Helvetica"/>
              </w:rPr>
            </w:pPr>
          </w:p>
          <w:p w14:paraId="5EFC6541" w14:textId="77777777" w:rsidR="00BB4D6D" w:rsidRPr="00220194" w:rsidRDefault="00BB4D6D" w:rsidP="00BB4D6D">
            <w:pPr>
              <w:pStyle w:val="Prrafodelista"/>
              <w:numPr>
                <w:ilvl w:val="0"/>
                <w:numId w:val="1"/>
              </w:numPr>
              <w:jc w:val="both"/>
              <w:rPr>
                <w:rFonts w:ascii="Helvetica" w:hAnsi="Helvetica" w:cs="Helvetica"/>
                <w:i/>
              </w:rPr>
            </w:pPr>
            <w:r w:rsidRPr="00220194">
              <w:rPr>
                <w:rFonts w:ascii="Helvetica" w:hAnsi="Helvetica" w:cs="Helvetica"/>
                <w:b/>
              </w:rPr>
              <w:t>Artículo 43 de la Ley 489 de 1998</w:t>
            </w:r>
            <w:r w:rsidRPr="00220194">
              <w:rPr>
                <w:rFonts w:ascii="Helvetica" w:hAnsi="Helvetica" w:cs="Helvetica"/>
                <w:b/>
                <w:i/>
              </w:rPr>
              <w:t>:</w:t>
            </w:r>
            <w:r w:rsidRPr="00220194">
              <w:rPr>
                <w:rFonts w:ascii="Helvetica" w:hAnsi="Helvetica" w:cs="Helvetica"/>
                <w:i/>
              </w:rPr>
              <w:t xml:space="preserve"> Sistemas Administrativos. El Gobierno Nacional podrá organizar sistemas administrativos nacionales con el fin de coordinar las actividades estatales y de los particulares. Para tal efecto preverá los órganos o entidades a los cuáles corresponde desarrollar las actividades de dirección, programación, ejecución y evaluación.</w:t>
            </w:r>
          </w:p>
          <w:p w14:paraId="13C560BB" w14:textId="77777777" w:rsidR="00BB4D6D" w:rsidRPr="00220194" w:rsidRDefault="00BB4D6D" w:rsidP="00BB4D6D">
            <w:pPr>
              <w:pStyle w:val="Prrafodelista"/>
              <w:jc w:val="both"/>
              <w:rPr>
                <w:rFonts w:ascii="Helvetica" w:hAnsi="Helvetica" w:cs="Helvetica"/>
              </w:rPr>
            </w:pPr>
          </w:p>
          <w:p w14:paraId="52BE7E22" w14:textId="77777777" w:rsidR="00852190" w:rsidRPr="00852190" w:rsidRDefault="00BB4D6D" w:rsidP="00852190">
            <w:pPr>
              <w:pStyle w:val="Prrafodelista"/>
              <w:numPr>
                <w:ilvl w:val="0"/>
                <w:numId w:val="1"/>
              </w:numPr>
              <w:jc w:val="both"/>
              <w:rPr>
                <w:rFonts w:ascii="Helvetica" w:hAnsi="Helvetica" w:cs="Helvetica"/>
                <w:i/>
              </w:rPr>
            </w:pPr>
            <w:r w:rsidRPr="00220194">
              <w:rPr>
                <w:rFonts w:ascii="Helvetica" w:hAnsi="Helvetica" w:cs="Helvetica"/>
                <w:b/>
              </w:rPr>
              <w:t xml:space="preserve">Artículo 1 de la Ley </w:t>
            </w:r>
            <w:r w:rsidR="00852190">
              <w:rPr>
                <w:rFonts w:ascii="Helvetica" w:hAnsi="Helvetica" w:cs="Helvetica"/>
                <w:b/>
              </w:rPr>
              <w:t>87</w:t>
            </w:r>
            <w:r w:rsidRPr="00220194">
              <w:rPr>
                <w:rFonts w:ascii="Helvetica" w:hAnsi="Helvetica" w:cs="Helvetica"/>
                <w:b/>
              </w:rPr>
              <w:t xml:space="preserve"> de </w:t>
            </w:r>
            <w:r w:rsidR="00852190">
              <w:rPr>
                <w:rFonts w:ascii="Helvetica" w:hAnsi="Helvetica" w:cs="Helvetica"/>
                <w:b/>
              </w:rPr>
              <w:t>1993</w:t>
            </w:r>
            <w:r w:rsidRPr="00220194">
              <w:rPr>
                <w:rFonts w:ascii="Helvetica" w:hAnsi="Helvetica" w:cs="Helvetica"/>
                <w:b/>
              </w:rPr>
              <w:t xml:space="preserve">: </w:t>
            </w:r>
            <w:r w:rsidR="00852190" w:rsidRPr="00852190">
              <w:rPr>
                <w:rFonts w:ascii="Helvetica" w:hAnsi="Helvetica" w:cs="Helvetica"/>
                <w:i/>
              </w:rPr>
              <w:t>Definición del control interno. Se entiende por control interno el sistema integrado por el esquema de organización y el conjunto de los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constitucionales y legales vigentes dentro de las políticas trazadas por la dirección y en atención a las metas u objetivos previstos.</w:t>
            </w:r>
          </w:p>
          <w:p w14:paraId="70F9D02A" w14:textId="77777777" w:rsidR="00852190" w:rsidRPr="00852190" w:rsidRDefault="00852190" w:rsidP="00852190">
            <w:pPr>
              <w:pStyle w:val="Prrafodelista"/>
              <w:jc w:val="both"/>
              <w:rPr>
                <w:rFonts w:ascii="Helvetica" w:hAnsi="Helvetica" w:cs="Helvetica"/>
                <w:i/>
              </w:rPr>
            </w:pPr>
          </w:p>
          <w:p w14:paraId="161CB1EA" w14:textId="5EC11D2F" w:rsidR="00BB4D6D" w:rsidRPr="00220194" w:rsidRDefault="00852190" w:rsidP="00852190">
            <w:pPr>
              <w:pStyle w:val="Prrafodelista"/>
              <w:jc w:val="both"/>
              <w:rPr>
                <w:rFonts w:ascii="Helvetica" w:hAnsi="Helvetica" w:cs="Helvetica"/>
              </w:rPr>
            </w:pPr>
            <w:r w:rsidRPr="00852190">
              <w:rPr>
                <w:rFonts w:ascii="Helvetica" w:hAnsi="Helvetica" w:cs="Helvetica"/>
                <w:i/>
              </w:rPr>
              <w:t>El ejercicio de control interno debe consultar los principios de igualdad, moralidad, eficiencia, economía, celeridad, imparcialidad, publicidad y valoración de costos ambientales. En consecuencia, deberá concebirse y organizarse de tal manera que su ejercicio sea intrínseco al desarrollo de las funciones de todos los cargos existentes en la entidad, y en particular de las asignadas a aquellos que tengan responsabilidad del mando</w:t>
            </w:r>
            <w:r w:rsidR="00C648F6" w:rsidRPr="00220194">
              <w:rPr>
                <w:rFonts w:ascii="Helvetica" w:hAnsi="Helvetica" w:cs="Helvetica"/>
                <w:i/>
              </w:rPr>
              <w:t>.</w:t>
            </w:r>
          </w:p>
          <w:p w14:paraId="65E21886" w14:textId="77777777" w:rsidR="00C648F6" w:rsidRPr="00220194" w:rsidRDefault="00C648F6" w:rsidP="00C648F6">
            <w:pPr>
              <w:pStyle w:val="Prrafodelista"/>
              <w:rPr>
                <w:rFonts w:ascii="Helvetica" w:hAnsi="Helvetica" w:cs="Helvetica"/>
              </w:rPr>
            </w:pPr>
          </w:p>
          <w:p w14:paraId="2DD3C790" w14:textId="56B15259" w:rsidR="00C648F6" w:rsidRDefault="002A13B0" w:rsidP="00BB4D6D">
            <w:pPr>
              <w:pStyle w:val="Prrafodelista"/>
              <w:numPr>
                <w:ilvl w:val="0"/>
                <w:numId w:val="1"/>
              </w:numPr>
              <w:jc w:val="both"/>
              <w:rPr>
                <w:rFonts w:ascii="Helvetica" w:hAnsi="Helvetica" w:cs="Helvetica"/>
                <w:i/>
              </w:rPr>
            </w:pPr>
            <w:r w:rsidRPr="00220194">
              <w:rPr>
                <w:rFonts w:ascii="Helvetica" w:hAnsi="Helvetica" w:cs="Helvetica"/>
                <w:b/>
              </w:rPr>
              <w:lastRenderedPageBreak/>
              <w:t xml:space="preserve">Artículo </w:t>
            </w:r>
            <w:r w:rsidR="00C866B8" w:rsidRPr="00C866B8">
              <w:rPr>
                <w:rFonts w:ascii="Helvetica" w:hAnsi="Helvetica" w:cs="Helvetica"/>
                <w:b/>
              </w:rPr>
              <w:t>2.2.21.2.3</w:t>
            </w:r>
            <w:r w:rsidR="00C866B8">
              <w:rPr>
                <w:rFonts w:ascii="Helvetica" w:hAnsi="Helvetica" w:cs="Helvetica"/>
                <w:b/>
              </w:rPr>
              <w:t>, literal b)</w:t>
            </w:r>
            <w:r w:rsidR="00C866B8" w:rsidRPr="00C866B8">
              <w:rPr>
                <w:rFonts w:ascii="Helvetica" w:hAnsi="Helvetica" w:cs="Helvetica"/>
                <w:b/>
              </w:rPr>
              <w:t xml:space="preserve"> </w:t>
            </w:r>
            <w:r w:rsidRPr="00220194">
              <w:rPr>
                <w:rFonts w:ascii="Helvetica" w:hAnsi="Helvetica" w:cs="Helvetica"/>
                <w:b/>
              </w:rPr>
              <w:t>d</w:t>
            </w:r>
            <w:r w:rsidR="00852190">
              <w:rPr>
                <w:rFonts w:ascii="Helvetica" w:hAnsi="Helvetica" w:cs="Helvetica"/>
                <w:b/>
              </w:rPr>
              <w:t>el Decreto 1083 de 2015</w:t>
            </w:r>
            <w:r w:rsidRPr="00220194">
              <w:rPr>
                <w:rFonts w:ascii="Helvetica" w:hAnsi="Helvetica" w:cs="Helvetica"/>
                <w:b/>
              </w:rPr>
              <w:t>:</w:t>
            </w:r>
            <w:r w:rsidR="00C866B8" w:rsidRPr="00C866B8">
              <w:rPr>
                <w:rFonts w:ascii="Helvetica" w:hAnsi="Helvetica" w:cs="Helvetica"/>
                <w:i/>
              </w:rPr>
              <w:t xml:space="preserve"> El Departamento Administrativo de la Función Pública, a quien corresponde fijar de acuerdo con el Presidente de la República, las políticas de Administración Pública, en especial las relacionadas con Control Interno</w:t>
            </w:r>
            <w:r w:rsidR="00052AB7" w:rsidRPr="00220194">
              <w:rPr>
                <w:rFonts w:ascii="Helvetica" w:hAnsi="Helvetica" w:cs="Helvetica"/>
                <w:i/>
              </w:rPr>
              <w:t>.</w:t>
            </w:r>
          </w:p>
          <w:p w14:paraId="6BB10974" w14:textId="77777777" w:rsidR="00C866B8" w:rsidRDefault="00C866B8" w:rsidP="00C866B8">
            <w:pPr>
              <w:pStyle w:val="Prrafodelista"/>
              <w:jc w:val="both"/>
              <w:rPr>
                <w:rFonts w:ascii="Helvetica" w:hAnsi="Helvetica" w:cs="Helvetica"/>
                <w:i/>
              </w:rPr>
            </w:pPr>
          </w:p>
          <w:p w14:paraId="31F92429" w14:textId="534BAAEC" w:rsidR="00C866B8" w:rsidRPr="00C866B8" w:rsidRDefault="00C866B8" w:rsidP="00207B33">
            <w:pPr>
              <w:pStyle w:val="Prrafodelista"/>
              <w:numPr>
                <w:ilvl w:val="0"/>
                <w:numId w:val="1"/>
              </w:numPr>
              <w:jc w:val="both"/>
              <w:rPr>
                <w:rFonts w:ascii="Helvetica" w:hAnsi="Helvetica" w:cs="Helvetica"/>
                <w:i/>
              </w:rPr>
            </w:pPr>
            <w:r w:rsidRPr="00C866B8">
              <w:rPr>
                <w:rFonts w:ascii="Helvetica" w:hAnsi="Helvetica" w:cs="Helvetica"/>
                <w:b/>
              </w:rPr>
              <w:t>Artículo 2.2.21.5.3 del Decreto 1083 de 2015:</w:t>
            </w:r>
            <w:r w:rsidRPr="00C866B8">
              <w:rPr>
                <w:rFonts w:ascii="Helvetica" w:hAnsi="Helvetica" w:cs="Helvetica"/>
                <w:i/>
              </w:rPr>
              <w:t xml:space="preserve"> De las oficinas de control interno. Las Unidades u Oficinas de Control Interno o quien haga sus veces desarrollarán su labor a través de los siguientes roles: liderazgo estratégico; enfoque hacia la prevención, evaluación de la gestión del riesgo, evaluación y seguimiento, relación con entes externos de control.</w:t>
            </w:r>
          </w:p>
          <w:p w14:paraId="1EF9229B" w14:textId="01799FEE" w:rsidR="00C866B8" w:rsidRDefault="00C866B8" w:rsidP="00C866B8">
            <w:pPr>
              <w:pStyle w:val="Prrafodelista"/>
              <w:jc w:val="both"/>
              <w:rPr>
                <w:rFonts w:ascii="Helvetica" w:hAnsi="Helvetica" w:cs="Helvetica"/>
                <w:i/>
              </w:rPr>
            </w:pPr>
            <w:r w:rsidRPr="00C866B8">
              <w:rPr>
                <w:rFonts w:ascii="Helvetica" w:hAnsi="Helvetica" w:cs="Helvetica"/>
                <w:i/>
              </w:rPr>
              <w:t>El Departamento Administrativo de la Función Pública determinará los lineamientos para el desarrollo de los citados roles.”</w:t>
            </w:r>
            <w:r w:rsidRPr="00220194">
              <w:rPr>
                <w:rFonts w:ascii="Helvetica" w:hAnsi="Helvetica" w:cs="Helvetica"/>
                <w:i/>
              </w:rPr>
              <w:t>.</w:t>
            </w:r>
          </w:p>
          <w:p w14:paraId="309BB4F5" w14:textId="77777777" w:rsidR="00052AB7" w:rsidRPr="00220194" w:rsidRDefault="00052AB7" w:rsidP="00052AB7">
            <w:pPr>
              <w:pStyle w:val="Prrafodelista"/>
              <w:rPr>
                <w:rFonts w:ascii="Helvetica" w:hAnsi="Helvetica" w:cs="Helvetica"/>
              </w:rPr>
            </w:pPr>
          </w:p>
          <w:p w14:paraId="6079E615" w14:textId="77777777" w:rsidR="00052AB7" w:rsidRPr="00220194" w:rsidRDefault="00052AB7" w:rsidP="00052AB7">
            <w:pPr>
              <w:jc w:val="both"/>
              <w:rPr>
                <w:rFonts w:ascii="Helvetica" w:hAnsi="Helvetica" w:cs="Helvetica"/>
              </w:rPr>
            </w:pPr>
            <w:r w:rsidRPr="00220194">
              <w:rPr>
                <w:rFonts w:ascii="Helvetica" w:hAnsi="Helvetica" w:cs="Helvetica"/>
              </w:rPr>
              <w:t>3.2 Vigencia de la ley o norma reglamentada o desarrollada</w:t>
            </w:r>
          </w:p>
          <w:p w14:paraId="3F7C8D9E" w14:textId="77777777" w:rsidR="00052AB7" w:rsidRPr="00220194" w:rsidRDefault="00052AB7" w:rsidP="00052AB7">
            <w:pPr>
              <w:jc w:val="both"/>
              <w:rPr>
                <w:rFonts w:ascii="Helvetica" w:hAnsi="Helvetica" w:cs="Helvetica"/>
              </w:rPr>
            </w:pPr>
          </w:p>
          <w:p w14:paraId="2851C602" w14:textId="77777777" w:rsidR="00052AB7" w:rsidRPr="00220194" w:rsidRDefault="00052AB7" w:rsidP="00052AB7">
            <w:pPr>
              <w:pStyle w:val="Prrafodelista"/>
              <w:numPr>
                <w:ilvl w:val="0"/>
                <w:numId w:val="1"/>
              </w:numPr>
              <w:jc w:val="both"/>
              <w:rPr>
                <w:rFonts w:ascii="Helvetica" w:hAnsi="Helvetica" w:cs="Helvetica"/>
              </w:rPr>
            </w:pPr>
            <w:r w:rsidRPr="00220194">
              <w:rPr>
                <w:rFonts w:ascii="Helvetica" w:hAnsi="Helvetica" w:cs="Helvetica"/>
              </w:rPr>
              <w:t>El Artículo 189 Numeral 11 de la Constitución Política de Colombia se encuentra vigente.</w:t>
            </w:r>
          </w:p>
          <w:p w14:paraId="64260BDF" w14:textId="77777777" w:rsidR="00052AB7" w:rsidRPr="00220194" w:rsidRDefault="00052AB7" w:rsidP="00052AB7">
            <w:pPr>
              <w:pStyle w:val="Prrafodelista"/>
              <w:numPr>
                <w:ilvl w:val="0"/>
                <w:numId w:val="1"/>
              </w:numPr>
              <w:jc w:val="both"/>
              <w:rPr>
                <w:rFonts w:ascii="Helvetica" w:hAnsi="Helvetica" w:cs="Helvetica"/>
              </w:rPr>
            </w:pPr>
            <w:r w:rsidRPr="00220194">
              <w:rPr>
                <w:rFonts w:ascii="Helvetica" w:hAnsi="Helvetica" w:cs="Helvetica"/>
              </w:rPr>
              <w:t>El Artículo 43 de la Ley 489 de 1998 se encuentra vigente.</w:t>
            </w:r>
          </w:p>
          <w:p w14:paraId="22A25F5A" w14:textId="56807B42" w:rsidR="00052AB7" w:rsidRDefault="00AF7C5D" w:rsidP="00052AB7">
            <w:pPr>
              <w:pStyle w:val="Prrafodelista"/>
              <w:numPr>
                <w:ilvl w:val="0"/>
                <w:numId w:val="1"/>
              </w:numPr>
              <w:jc w:val="both"/>
              <w:rPr>
                <w:rFonts w:ascii="Helvetica" w:hAnsi="Helvetica" w:cs="Helvetica"/>
              </w:rPr>
            </w:pPr>
            <w:r>
              <w:rPr>
                <w:rFonts w:ascii="Helvetica" w:hAnsi="Helvetica" w:cs="Helvetica"/>
              </w:rPr>
              <w:t>El</w:t>
            </w:r>
            <w:r w:rsidR="00052AB7" w:rsidRPr="00220194">
              <w:rPr>
                <w:rFonts w:ascii="Helvetica" w:hAnsi="Helvetica" w:cs="Helvetica"/>
              </w:rPr>
              <w:t xml:space="preserve"> Artículos 1 de la Ley </w:t>
            </w:r>
            <w:r>
              <w:rPr>
                <w:rFonts w:ascii="Helvetica" w:hAnsi="Helvetica" w:cs="Helvetica"/>
              </w:rPr>
              <w:t>87</w:t>
            </w:r>
            <w:r w:rsidR="00052AB7" w:rsidRPr="00220194">
              <w:rPr>
                <w:rFonts w:ascii="Helvetica" w:hAnsi="Helvetica" w:cs="Helvetica"/>
              </w:rPr>
              <w:t xml:space="preserve"> de </w:t>
            </w:r>
            <w:r>
              <w:rPr>
                <w:rFonts w:ascii="Helvetica" w:hAnsi="Helvetica" w:cs="Helvetica"/>
              </w:rPr>
              <w:t>1993</w:t>
            </w:r>
            <w:r w:rsidR="00052AB7" w:rsidRPr="00220194">
              <w:rPr>
                <w:rFonts w:ascii="Helvetica" w:hAnsi="Helvetica" w:cs="Helvetica"/>
              </w:rPr>
              <w:t xml:space="preserve"> se encuentran vigentes.</w:t>
            </w:r>
          </w:p>
          <w:p w14:paraId="68596C20" w14:textId="77777777" w:rsidR="00AF7C5D" w:rsidRDefault="00AF7C5D" w:rsidP="00AF7C5D">
            <w:pPr>
              <w:pStyle w:val="Prrafodelista"/>
              <w:numPr>
                <w:ilvl w:val="0"/>
                <w:numId w:val="1"/>
              </w:numPr>
              <w:jc w:val="both"/>
              <w:rPr>
                <w:rFonts w:ascii="Helvetica" w:hAnsi="Helvetica" w:cs="Helvetica"/>
              </w:rPr>
            </w:pPr>
            <w:r>
              <w:rPr>
                <w:rFonts w:ascii="Helvetica" w:hAnsi="Helvetica" w:cs="Helvetica"/>
              </w:rPr>
              <w:t xml:space="preserve">Los Artículos </w:t>
            </w:r>
            <w:r w:rsidRPr="00AF7C5D">
              <w:rPr>
                <w:rFonts w:ascii="Helvetica" w:hAnsi="Helvetica" w:cs="Helvetica"/>
              </w:rPr>
              <w:t>2.2.21.2.3</w:t>
            </w:r>
            <w:r>
              <w:rPr>
                <w:rFonts w:ascii="Helvetica" w:hAnsi="Helvetica" w:cs="Helvetica"/>
              </w:rPr>
              <w:t xml:space="preserve"> y </w:t>
            </w:r>
            <w:r w:rsidRPr="00AF7C5D">
              <w:rPr>
                <w:rFonts w:ascii="Helvetica" w:hAnsi="Helvetica" w:cs="Helvetica"/>
              </w:rPr>
              <w:t>2.2.21.5.3 del Decreto 1083 de 2015</w:t>
            </w:r>
            <w:r>
              <w:rPr>
                <w:rFonts w:ascii="Helvetica" w:hAnsi="Helvetica" w:cs="Helvetica"/>
              </w:rPr>
              <w:t xml:space="preserve"> </w:t>
            </w:r>
            <w:r w:rsidRPr="00220194">
              <w:rPr>
                <w:rFonts w:ascii="Helvetica" w:hAnsi="Helvetica" w:cs="Helvetica"/>
              </w:rPr>
              <w:t>se encuentran vigentes.</w:t>
            </w:r>
          </w:p>
          <w:p w14:paraId="4A30C467" w14:textId="77777777" w:rsidR="00052AB7" w:rsidRPr="00220194" w:rsidRDefault="00052AB7" w:rsidP="00052AB7">
            <w:pPr>
              <w:jc w:val="both"/>
              <w:rPr>
                <w:rFonts w:ascii="Helvetica" w:hAnsi="Helvetica" w:cs="Helvetica"/>
              </w:rPr>
            </w:pPr>
          </w:p>
          <w:p w14:paraId="4BEB92E9" w14:textId="77777777" w:rsidR="00052AB7" w:rsidRPr="00220194" w:rsidRDefault="00052AB7" w:rsidP="00052AB7">
            <w:pPr>
              <w:jc w:val="both"/>
              <w:rPr>
                <w:rFonts w:ascii="Helvetica" w:hAnsi="Helvetica" w:cs="Helvetica"/>
              </w:rPr>
            </w:pPr>
            <w:r w:rsidRPr="00220194">
              <w:rPr>
                <w:rFonts w:ascii="Helvetica" w:hAnsi="Helvetica" w:cs="Helvetica"/>
              </w:rPr>
              <w:t>3.3 Disposiciones derogadas, subrogadas, modificadas, adicionadas o sustituidas</w:t>
            </w:r>
          </w:p>
          <w:p w14:paraId="276FD946" w14:textId="77777777" w:rsidR="00052AB7" w:rsidRPr="00220194" w:rsidRDefault="00052AB7" w:rsidP="00052AB7">
            <w:pPr>
              <w:jc w:val="both"/>
              <w:rPr>
                <w:rFonts w:ascii="Helvetica" w:hAnsi="Helvetica" w:cs="Helvetica"/>
              </w:rPr>
            </w:pPr>
          </w:p>
          <w:p w14:paraId="4EFAA220" w14:textId="63795AC5" w:rsidR="00FD0524" w:rsidRPr="00FD0524" w:rsidRDefault="00052AB7" w:rsidP="00FD0524">
            <w:pPr>
              <w:pStyle w:val="Prrafodelista"/>
              <w:numPr>
                <w:ilvl w:val="0"/>
                <w:numId w:val="1"/>
              </w:numPr>
              <w:jc w:val="both"/>
              <w:rPr>
                <w:rFonts w:ascii="Helvetica" w:hAnsi="Helvetica" w:cs="Helvetica"/>
              </w:rPr>
            </w:pPr>
            <w:r w:rsidRPr="00913846">
              <w:rPr>
                <w:rFonts w:ascii="Helvetica" w:hAnsi="Helvetica" w:cs="Helvetica"/>
              </w:rPr>
              <w:t xml:space="preserve">Se </w:t>
            </w:r>
            <w:r w:rsidR="009E3CDE" w:rsidRPr="00913846">
              <w:rPr>
                <w:rFonts w:ascii="Helvetica" w:hAnsi="Helvetica" w:cs="Helvetica"/>
              </w:rPr>
              <w:t xml:space="preserve">modifica </w:t>
            </w:r>
            <w:r w:rsidRPr="00913846">
              <w:rPr>
                <w:rFonts w:ascii="Helvetica" w:hAnsi="Helvetica" w:cs="Helvetica"/>
              </w:rPr>
              <w:t xml:space="preserve">el Título </w:t>
            </w:r>
            <w:r w:rsidR="009E3CDE" w:rsidRPr="00913846">
              <w:rPr>
                <w:rFonts w:ascii="Helvetica" w:hAnsi="Helvetica" w:cs="Helvetica"/>
              </w:rPr>
              <w:t>21</w:t>
            </w:r>
            <w:r w:rsidR="00913846" w:rsidRPr="00913846">
              <w:rPr>
                <w:rFonts w:ascii="Helvetica" w:hAnsi="Helvetica" w:cs="Helvetica"/>
              </w:rPr>
              <w:t>, Capítulo 1</w:t>
            </w:r>
            <w:r w:rsidRPr="00913846">
              <w:rPr>
                <w:rFonts w:ascii="Helvetica" w:hAnsi="Helvetica" w:cs="Helvetica"/>
              </w:rPr>
              <w:t xml:space="preserve"> del Decreto 1083 de 2015 Único Reglamentario del Sector Función Pública con relación </w:t>
            </w:r>
            <w:r w:rsidR="00913846" w:rsidRPr="00913846">
              <w:rPr>
                <w:rFonts w:ascii="Helvetica" w:hAnsi="Helvetica" w:cs="Helvetica"/>
              </w:rPr>
              <w:t>Sistema De Control Interno</w:t>
            </w:r>
            <w:r w:rsidR="00913846">
              <w:rPr>
                <w:rFonts w:ascii="Helvetica" w:hAnsi="Helvetica" w:cs="Helvetica"/>
              </w:rPr>
              <w:t>.</w:t>
            </w:r>
          </w:p>
          <w:p w14:paraId="5F998F47" w14:textId="77777777" w:rsidR="00913846" w:rsidRPr="00913846" w:rsidRDefault="00913846" w:rsidP="00913846">
            <w:pPr>
              <w:pStyle w:val="Prrafodelista"/>
              <w:jc w:val="both"/>
              <w:rPr>
                <w:rFonts w:ascii="Helvetica" w:hAnsi="Helvetica" w:cs="Helvetica"/>
              </w:rPr>
            </w:pPr>
          </w:p>
          <w:p w14:paraId="4FCE4138" w14:textId="77777777" w:rsidR="00052AB7" w:rsidRPr="00220194" w:rsidRDefault="00052AB7" w:rsidP="00052AB7">
            <w:pPr>
              <w:jc w:val="both"/>
              <w:rPr>
                <w:rFonts w:ascii="Helvetica" w:hAnsi="Helvetica" w:cs="Helvetica"/>
              </w:rPr>
            </w:pPr>
            <w:r w:rsidRPr="00220194">
              <w:rPr>
                <w:rFonts w:ascii="Helvetica" w:hAnsi="Helvetica" w:cs="Helvetica"/>
              </w:rPr>
              <w:t>3.4 Revisión y análisis de la jurisprudencia que tenga impacto o sea relevante para la expedición del proyecto normativo (órganos de cierre de cada jurisdicción).</w:t>
            </w:r>
          </w:p>
          <w:p w14:paraId="36A8EB12" w14:textId="77777777" w:rsidR="00052AB7" w:rsidRPr="00220194" w:rsidRDefault="00052AB7" w:rsidP="00052AB7">
            <w:pPr>
              <w:jc w:val="both"/>
              <w:rPr>
                <w:rFonts w:ascii="Helvetica" w:hAnsi="Helvetica" w:cs="Helvetica"/>
              </w:rPr>
            </w:pPr>
          </w:p>
          <w:p w14:paraId="094ED055" w14:textId="77777777" w:rsidR="00052AB7" w:rsidRPr="00220194" w:rsidRDefault="00052AB7" w:rsidP="00052AB7">
            <w:pPr>
              <w:jc w:val="both"/>
              <w:rPr>
                <w:rFonts w:ascii="Helvetica" w:hAnsi="Helvetica" w:cs="Helvetica"/>
              </w:rPr>
            </w:pPr>
            <w:r w:rsidRPr="00220194">
              <w:rPr>
                <w:rFonts w:ascii="Helvetica" w:hAnsi="Helvetica" w:cs="Helvetica"/>
              </w:rPr>
              <w:t>No aplica</w:t>
            </w:r>
          </w:p>
          <w:p w14:paraId="2F9B0899" w14:textId="77777777" w:rsidR="00052AB7" w:rsidRPr="00220194" w:rsidRDefault="00052AB7" w:rsidP="00052AB7">
            <w:pPr>
              <w:jc w:val="both"/>
              <w:rPr>
                <w:rFonts w:ascii="Helvetica" w:hAnsi="Helvetica" w:cs="Helvetica"/>
              </w:rPr>
            </w:pPr>
          </w:p>
          <w:p w14:paraId="69A5A681" w14:textId="77777777" w:rsidR="00052AB7" w:rsidRPr="00220194" w:rsidRDefault="00052AB7" w:rsidP="00052AB7">
            <w:pPr>
              <w:jc w:val="both"/>
              <w:rPr>
                <w:rFonts w:ascii="Helvetica" w:hAnsi="Helvetica" w:cs="Helvetica"/>
              </w:rPr>
            </w:pPr>
            <w:r w:rsidRPr="00220194">
              <w:rPr>
                <w:rFonts w:ascii="Helvetica" w:hAnsi="Helvetica" w:cs="Helvetica"/>
              </w:rPr>
              <w:t>3.5 Circunstancias jurídicas adicionales</w:t>
            </w:r>
          </w:p>
          <w:p w14:paraId="12F1834D" w14:textId="77777777" w:rsidR="00052AB7" w:rsidRPr="00220194" w:rsidRDefault="00052AB7" w:rsidP="00052AB7">
            <w:pPr>
              <w:jc w:val="both"/>
              <w:rPr>
                <w:rFonts w:ascii="Helvetica" w:hAnsi="Helvetica" w:cs="Helvetica"/>
              </w:rPr>
            </w:pPr>
          </w:p>
          <w:p w14:paraId="5646CBAE" w14:textId="77777777" w:rsidR="00052AB7" w:rsidRPr="00220194" w:rsidRDefault="00052AB7" w:rsidP="00052AB7">
            <w:pPr>
              <w:jc w:val="both"/>
              <w:rPr>
                <w:rFonts w:ascii="Helvetica" w:hAnsi="Helvetica" w:cs="Helvetica"/>
              </w:rPr>
            </w:pPr>
            <w:r w:rsidRPr="00220194">
              <w:rPr>
                <w:rFonts w:ascii="Helvetica" w:hAnsi="Helvetica" w:cs="Helvetica"/>
              </w:rPr>
              <w:t>No existen circunstancias jurídicas adicionales</w:t>
            </w:r>
          </w:p>
          <w:p w14:paraId="7500C094" w14:textId="77777777" w:rsidR="00BB4D6D" w:rsidRPr="00220194" w:rsidRDefault="00BB4D6D" w:rsidP="009A42CA">
            <w:pPr>
              <w:pStyle w:val="Prrafodelista"/>
              <w:jc w:val="both"/>
              <w:rPr>
                <w:rFonts w:ascii="Helvetica" w:hAnsi="Helvetica" w:cs="Helvetica"/>
              </w:rPr>
            </w:pPr>
          </w:p>
        </w:tc>
      </w:tr>
      <w:tr w:rsidR="000B7BE2" w:rsidRPr="007C7DB4" w14:paraId="689E6567" w14:textId="77777777" w:rsidTr="221773A6">
        <w:trPr>
          <w:trHeight w:val="989"/>
        </w:trPr>
        <w:tc>
          <w:tcPr>
            <w:tcW w:w="11199" w:type="dxa"/>
            <w:gridSpan w:val="3"/>
            <w:vAlign w:val="center"/>
          </w:tcPr>
          <w:p w14:paraId="5871921F" w14:textId="77777777" w:rsidR="000B7BE2" w:rsidRDefault="000B7BE2" w:rsidP="000B7BE2">
            <w:pPr>
              <w:jc w:val="both"/>
              <w:rPr>
                <w:rFonts w:ascii="Helvetica" w:hAnsi="Helvetica" w:cs="Helvetica"/>
              </w:rPr>
            </w:pPr>
            <w:r w:rsidRPr="000B7BE2">
              <w:rPr>
                <w:rFonts w:ascii="Helvetica" w:hAnsi="Helvetica" w:cs="Helvetica"/>
                <w:b/>
              </w:rPr>
              <w:lastRenderedPageBreak/>
              <w:t>IV. IMPACTO ECONÓMICO</w:t>
            </w:r>
            <w:r w:rsidR="00E723C0">
              <w:rPr>
                <w:rFonts w:ascii="Helvetica" w:hAnsi="Helvetica" w:cs="Helvetica"/>
                <w:b/>
              </w:rPr>
              <w:t xml:space="preserve"> </w:t>
            </w:r>
            <w:r w:rsidRPr="000B7BE2">
              <w:rPr>
                <w:rFonts w:ascii="Helvetica" w:hAnsi="Helvetica" w:cs="Helvetica"/>
              </w:rPr>
              <w:t>(el cual deberá señalar el costo o ahorro de la implementación del respectivo acto. Si fuere el caso)</w:t>
            </w:r>
          </w:p>
          <w:p w14:paraId="17FF976A" w14:textId="77777777" w:rsidR="00E723C0" w:rsidRDefault="00E723C0" w:rsidP="000B7BE2">
            <w:pPr>
              <w:jc w:val="both"/>
              <w:rPr>
                <w:rFonts w:ascii="Helvetica" w:hAnsi="Helvetica" w:cs="Helvetica"/>
              </w:rPr>
            </w:pPr>
          </w:p>
          <w:p w14:paraId="4360836B" w14:textId="19B299B0" w:rsidR="00E723C0" w:rsidRPr="000B7BE2" w:rsidRDefault="00E723C0" w:rsidP="000B7BE2">
            <w:pPr>
              <w:jc w:val="both"/>
              <w:rPr>
                <w:rFonts w:ascii="Helvetica" w:hAnsi="Helvetica" w:cs="Helvetica"/>
              </w:rPr>
            </w:pPr>
            <w:r>
              <w:rPr>
                <w:rFonts w:ascii="Helvetica" w:hAnsi="Helvetica" w:cs="Helvetica"/>
              </w:rPr>
              <w:t xml:space="preserve">La expedición del decreto no supone compromisos presupuestales, ni esfuerzos fiscales adicionales para </w:t>
            </w:r>
            <w:r w:rsidR="00913846">
              <w:rPr>
                <w:rFonts w:ascii="Helvetica" w:hAnsi="Helvetica" w:cs="Helvetica"/>
              </w:rPr>
              <w:t>incorporar las modificaciones al Sistema de Control Interno</w:t>
            </w:r>
            <w:r w:rsidRPr="00E723C0">
              <w:rPr>
                <w:rFonts w:ascii="Helvetica" w:hAnsi="Helvetica" w:cs="Helvetica"/>
              </w:rPr>
              <w:t>.</w:t>
            </w:r>
          </w:p>
        </w:tc>
      </w:tr>
      <w:tr w:rsidR="000B7BE2" w:rsidRPr="007C7DB4" w14:paraId="6A29E949" w14:textId="77777777" w:rsidTr="221773A6">
        <w:trPr>
          <w:trHeight w:val="989"/>
        </w:trPr>
        <w:tc>
          <w:tcPr>
            <w:tcW w:w="11199" w:type="dxa"/>
            <w:gridSpan w:val="3"/>
            <w:vAlign w:val="center"/>
          </w:tcPr>
          <w:p w14:paraId="1FA50FD7" w14:textId="77777777" w:rsidR="000B7BE2" w:rsidRDefault="000B7BE2" w:rsidP="000B7BE2">
            <w:pPr>
              <w:jc w:val="both"/>
              <w:rPr>
                <w:rFonts w:ascii="Helvetica" w:hAnsi="Helvetica" w:cs="Helvetica"/>
              </w:rPr>
            </w:pPr>
            <w:r w:rsidRPr="000B7BE2">
              <w:rPr>
                <w:rFonts w:ascii="Helvetica" w:hAnsi="Helvetica" w:cs="Helvetica"/>
                <w:b/>
              </w:rPr>
              <w:t xml:space="preserve">V. DISPONIBILIDAD PRESUPUESTAL </w:t>
            </w:r>
            <w:r w:rsidRPr="000B7BE2">
              <w:rPr>
                <w:rFonts w:ascii="Helvetica" w:hAnsi="Helvetica" w:cs="Helvetica"/>
              </w:rPr>
              <w:t>(Si fuere el caso)</w:t>
            </w:r>
          </w:p>
          <w:p w14:paraId="1A5D6268" w14:textId="77777777" w:rsidR="00E723C0" w:rsidRDefault="00E723C0" w:rsidP="000B7BE2">
            <w:pPr>
              <w:jc w:val="both"/>
              <w:rPr>
                <w:rFonts w:ascii="Helvetica" w:hAnsi="Helvetica" w:cs="Helvetica"/>
                <w:b/>
              </w:rPr>
            </w:pPr>
          </w:p>
          <w:p w14:paraId="0B94E535" w14:textId="77777777" w:rsidR="00E723C0" w:rsidRPr="00E723C0" w:rsidRDefault="00E723C0" w:rsidP="000B7BE2">
            <w:pPr>
              <w:jc w:val="both"/>
              <w:rPr>
                <w:rFonts w:ascii="Helvetica" w:hAnsi="Helvetica" w:cs="Helvetica"/>
              </w:rPr>
            </w:pPr>
            <w:r w:rsidRPr="00E723C0">
              <w:rPr>
                <w:rFonts w:ascii="Helvetica" w:hAnsi="Helvetica" w:cs="Helvetica"/>
              </w:rPr>
              <w:t>No aplica</w:t>
            </w:r>
          </w:p>
        </w:tc>
      </w:tr>
      <w:tr w:rsidR="000B7BE2" w:rsidRPr="007C7DB4" w14:paraId="6F685DB4" w14:textId="77777777" w:rsidTr="221773A6">
        <w:trPr>
          <w:trHeight w:val="989"/>
        </w:trPr>
        <w:tc>
          <w:tcPr>
            <w:tcW w:w="11199" w:type="dxa"/>
            <w:gridSpan w:val="3"/>
            <w:vAlign w:val="center"/>
          </w:tcPr>
          <w:p w14:paraId="64E776D9" w14:textId="77777777" w:rsidR="000B7BE2" w:rsidRDefault="000B7BE2" w:rsidP="000B7BE2">
            <w:pPr>
              <w:jc w:val="both"/>
              <w:rPr>
                <w:rFonts w:ascii="Helvetica" w:hAnsi="Helvetica" w:cs="Helvetica"/>
              </w:rPr>
            </w:pPr>
            <w:r w:rsidRPr="000B7BE2">
              <w:rPr>
                <w:rFonts w:ascii="Helvetica" w:hAnsi="Helvetica" w:cs="Helvetica"/>
                <w:b/>
              </w:rPr>
              <w:t xml:space="preserve">VI . IMPACTO MEDIOAMBIENTAL O SOBRE EL PATRIMONIO CULTURAL DE LA NACIÓN </w:t>
            </w:r>
            <w:r w:rsidRPr="000B7BE2">
              <w:rPr>
                <w:rFonts w:ascii="Helvetica" w:hAnsi="Helvetica" w:cs="Helvetica"/>
              </w:rPr>
              <w:t>(Si aplica)</w:t>
            </w:r>
          </w:p>
          <w:p w14:paraId="1EC7612A" w14:textId="77777777" w:rsidR="00E723C0" w:rsidRDefault="00E723C0" w:rsidP="000B7BE2">
            <w:pPr>
              <w:jc w:val="both"/>
              <w:rPr>
                <w:rFonts w:ascii="Helvetica" w:hAnsi="Helvetica" w:cs="Helvetica"/>
                <w:b/>
              </w:rPr>
            </w:pPr>
          </w:p>
          <w:p w14:paraId="61E7452C" w14:textId="77777777" w:rsidR="00E723C0" w:rsidRDefault="00E723C0" w:rsidP="000B7BE2">
            <w:pPr>
              <w:jc w:val="both"/>
              <w:rPr>
                <w:rFonts w:ascii="Helvetica" w:hAnsi="Helvetica" w:cs="Helvetica"/>
              </w:rPr>
            </w:pPr>
            <w:r>
              <w:rPr>
                <w:rFonts w:ascii="Helvetica" w:hAnsi="Helvetica" w:cs="Helvetica"/>
              </w:rPr>
              <w:t>La expedición del decreto no tiene impacto sobre el medio ambiente o el patrimonio cultural de la nación.</w:t>
            </w:r>
          </w:p>
          <w:p w14:paraId="00559CAE" w14:textId="77777777" w:rsidR="00E723C0" w:rsidRPr="000B7BE2" w:rsidRDefault="00E723C0" w:rsidP="000B7BE2">
            <w:pPr>
              <w:jc w:val="both"/>
              <w:rPr>
                <w:rFonts w:ascii="Helvetica" w:hAnsi="Helvetica" w:cs="Helvetica"/>
                <w:b/>
              </w:rPr>
            </w:pPr>
          </w:p>
        </w:tc>
      </w:tr>
      <w:tr w:rsidR="000B7BE2" w:rsidRPr="007C7DB4" w14:paraId="3DA29C13" w14:textId="77777777" w:rsidTr="221773A6">
        <w:trPr>
          <w:trHeight w:val="989"/>
        </w:trPr>
        <w:tc>
          <w:tcPr>
            <w:tcW w:w="11199" w:type="dxa"/>
            <w:gridSpan w:val="3"/>
            <w:vAlign w:val="center"/>
          </w:tcPr>
          <w:p w14:paraId="11DFBFD3" w14:textId="77777777" w:rsidR="000B7BE2" w:rsidRDefault="000B7BE2" w:rsidP="00A04E01">
            <w:pPr>
              <w:jc w:val="both"/>
              <w:rPr>
                <w:rFonts w:ascii="Helvetica" w:hAnsi="Helvetica" w:cs="Helvetica"/>
                <w:b/>
              </w:rPr>
            </w:pPr>
            <w:r w:rsidRPr="000B7BE2">
              <w:rPr>
                <w:rFonts w:ascii="Helvetica" w:hAnsi="Helvetica" w:cs="Helvetica"/>
                <w:b/>
              </w:rPr>
              <w:t xml:space="preserve">VII. </w:t>
            </w:r>
            <w:r w:rsidR="00A04E01">
              <w:rPr>
                <w:rFonts w:ascii="Helvetica" w:hAnsi="Helvetica" w:cs="Helvetica"/>
                <w:b/>
              </w:rPr>
              <w:t xml:space="preserve">ESTUDIOS TÉCNICOS QUE SUSTENTEN EL PROYECTO NORMATIVO </w:t>
            </w:r>
            <w:r w:rsidR="00A04E01" w:rsidRPr="00A04E01">
              <w:rPr>
                <w:rFonts w:ascii="Helvetica" w:hAnsi="Helvetica" w:cs="Helvetica"/>
              </w:rPr>
              <w:t>(Si cuenta con ellos)</w:t>
            </w:r>
          </w:p>
          <w:p w14:paraId="4FCEC610" w14:textId="77777777" w:rsidR="00A04E01" w:rsidRDefault="00A04E01" w:rsidP="00A04E01">
            <w:pPr>
              <w:jc w:val="both"/>
              <w:rPr>
                <w:rFonts w:ascii="Helvetica" w:hAnsi="Helvetica" w:cs="Helvetica"/>
              </w:rPr>
            </w:pPr>
          </w:p>
          <w:p w14:paraId="4A91276F" w14:textId="77777777" w:rsidR="00A04E01" w:rsidRPr="000B7BE2" w:rsidRDefault="00A04E01" w:rsidP="00A04E01">
            <w:pPr>
              <w:jc w:val="both"/>
              <w:rPr>
                <w:rFonts w:ascii="Helvetica" w:hAnsi="Helvetica" w:cs="Helvetica"/>
              </w:rPr>
            </w:pPr>
            <w:r w:rsidRPr="00A04E01">
              <w:rPr>
                <w:rFonts w:ascii="Helvetica" w:hAnsi="Helvetica" w:cs="Helvetica"/>
              </w:rPr>
              <w:t>No aplica</w:t>
            </w:r>
          </w:p>
        </w:tc>
      </w:tr>
      <w:tr w:rsidR="000B7BE2" w:rsidRPr="007C7DB4" w14:paraId="7472F168" w14:textId="77777777" w:rsidTr="221773A6">
        <w:trPr>
          <w:trHeight w:val="989"/>
        </w:trPr>
        <w:tc>
          <w:tcPr>
            <w:tcW w:w="11199" w:type="dxa"/>
            <w:gridSpan w:val="3"/>
            <w:vAlign w:val="center"/>
          </w:tcPr>
          <w:p w14:paraId="224A5B12" w14:textId="77777777" w:rsidR="000B7BE2" w:rsidRPr="000B7BE2" w:rsidRDefault="000B7BE2" w:rsidP="000B7BE2">
            <w:pPr>
              <w:jc w:val="both"/>
              <w:rPr>
                <w:rFonts w:ascii="Helvetica" w:hAnsi="Helvetica" w:cs="Helvetica"/>
                <w:b/>
              </w:rPr>
            </w:pPr>
            <w:r w:rsidRPr="000B7BE2">
              <w:rPr>
                <w:rFonts w:ascii="Helvetica" w:hAnsi="Helvetica" w:cs="Helvetica"/>
                <w:b/>
              </w:rPr>
              <w:lastRenderedPageBreak/>
              <w:t>VIII. ASPECTOS ADICIONALES IMPORTANTES</w:t>
            </w:r>
          </w:p>
          <w:p w14:paraId="19949709" w14:textId="77777777" w:rsidR="000B7BE2" w:rsidRPr="000B7BE2" w:rsidRDefault="000B7BE2" w:rsidP="000B7BE2">
            <w:pPr>
              <w:jc w:val="both"/>
              <w:rPr>
                <w:rFonts w:ascii="Helvetica" w:hAnsi="Helvetica" w:cs="Helvetica"/>
              </w:rPr>
            </w:pPr>
            <w:r w:rsidRPr="000B7BE2">
              <w:rPr>
                <w:rFonts w:ascii="Helvetica" w:hAnsi="Helvetica" w:cs="Helvetica"/>
              </w:rPr>
              <w:t>(Para la adopción de la decisión)</w:t>
            </w:r>
          </w:p>
        </w:tc>
      </w:tr>
      <w:tr w:rsidR="000B7BE2" w:rsidRPr="007C7DB4" w14:paraId="4D20E0CF" w14:textId="77777777" w:rsidTr="221773A6">
        <w:trPr>
          <w:trHeight w:val="485"/>
        </w:trPr>
        <w:tc>
          <w:tcPr>
            <w:tcW w:w="11199" w:type="dxa"/>
            <w:gridSpan w:val="3"/>
            <w:shd w:val="clear" w:color="auto" w:fill="FFF2CC" w:themeFill="accent4" w:themeFillTint="33"/>
            <w:vAlign w:val="center"/>
          </w:tcPr>
          <w:p w14:paraId="78A42B5F" w14:textId="77777777" w:rsidR="00E44874" w:rsidRPr="000B7BE2" w:rsidRDefault="000B7BE2" w:rsidP="0038153B">
            <w:pPr>
              <w:jc w:val="center"/>
              <w:rPr>
                <w:rFonts w:ascii="Helvetica" w:hAnsi="Helvetica" w:cs="Helvetica"/>
              </w:rPr>
            </w:pPr>
            <w:r w:rsidRPr="000B7BE2">
              <w:rPr>
                <w:rFonts w:ascii="Helvetica" w:hAnsi="Helvetica" w:cs="Helvetica"/>
                <w:b/>
              </w:rPr>
              <w:t>X</w:t>
            </w:r>
            <w:r w:rsidRPr="00891F06">
              <w:rPr>
                <w:rFonts w:ascii="Helvetica" w:hAnsi="Helvetica" w:cs="Helvetica"/>
                <w:b/>
              </w:rPr>
              <w:t>. ANEXOS</w:t>
            </w:r>
          </w:p>
        </w:tc>
      </w:tr>
      <w:tr w:rsidR="0038153B" w:rsidRPr="0038153B" w14:paraId="10F3E103" w14:textId="77777777" w:rsidTr="221773A6">
        <w:tc>
          <w:tcPr>
            <w:tcW w:w="7088" w:type="dxa"/>
            <w:gridSpan w:val="2"/>
          </w:tcPr>
          <w:p w14:paraId="015D4470" w14:textId="77777777" w:rsidR="0038153B" w:rsidRDefault="0038153B" w:rsidP="00291721">
            <w:pPr>
              <w:jc w:val="both"/>
              <w:rPr>
                <w:rFonts w:ascii="Helvetica" w:hAnsi="Helvetica" w:cs="Helvetica"/>
              </w:rPr>
            </w:pPr>
            <w:r>
              <w:rPr>
                <w:rFonts w:ascii="Helvetica" w:hAnsi="Helvetica" w:cs="Helvetica"/>
              </w:rPr>
              <w:t>Certificación de cumplimiento de requisitos de consulta</w:t>
            </w:r>
            <w:r w:rsidR="00291721">
              <w:rPr>
                <w:rFonts w:ascii="Helvetica" w:hAnsi="Helvetica" w:cs="Helvetica"/>
              </w:rPr>
              <w:t>, publicidad y de incorporación en la agenda regulatoria.</w:t>
            </w:r>
          </w:p>
          <w:p w14:paraId="72172AFE" w14:textId="77777777" w:rsidR="00291721" w:rsidRPr="00291721" w:rsidRDefault="00291721" w:rsidP="00291721">
            <w:pPr>
              <w:jc w:val="both"/>
              <w:rPr>
                <w:rFonts w:ascii="Helvetica" w:hAnsi="Helvetica" w:cs="Helvetica"/>
                <w:i/>
              </w:rPr>
            </w:pPr>
            <w:r w:rsidRPr="00291721">
              <w:rPr>
                <w:rFonts w:ascii="Helvetica" w:hAnsi="Helvetica" w:cs="Helvetica"/>
                <w:i/>
                <w:color w:val="808080" w:themeColor="background1" w:themeShade="80"/>
              </w:rPr>
              <w:t>(Firmada por el servidor competente – entidad originadora)</w:t>
            </w:r>
          </w:p>
        </w:tc>
        <w:tc>
          <w:tcPr>
            <w:tcW w:w="4111" w:type="dxa"/>
            <w:vAlign w:val="center"/>
          </w:tcPr>
          <w:p w14:paraId="7DD935DA" w14:textId="77777777" w:rsidR="0038153B" w:rsidRPr="008E280B" w:rsidRDefault="00291721" w:rsidP="00291721">
            <w:pPr>
              <w:jc w:val="center"/>
              <w:rPr>
                <w:rFonts w:ascii="Helvetica" w:hAnsi="Helvetica" w:cs="Helvetica"/>
                <w:i/>
              </w:rPr>
            </w:pPr>
            <w:r w:rsidRPr="008E280B">
              <w:rPr>
                <w:rFonts w:ascii="Helvetica" w:hAnsi="Helvetica" w:cs="Helvetica"/>
                <w:i/>
              </w:rPr>
              <w:t>X</w:t>
            </w:r>
          </w:p>
        </w:tc>
      </w:tr>
      <w:tr w:rsidR="00291721" w:rsidRPr="0038153B" w14:paraId="7F2787D3" w14:textId="77777777" w:rsidTr="221773A6">
        <w:tc>
          <w:tcPr>
            <w:tcW w:w="7088" w:type="dxa"/>
            <w:gridSpan w:val="2"/>
          </w:tcPr>
          <w:p w14:paraId="770BEA75" w14:textId="77777777" w:rsidR="00291721" w:rsidRDefault="00291721" w:rsidP="00291721">
            <w:pPr>
              <w:jc w:val="both"/>
              <w:rPr>
                <w:rFonts w:ascii="Helvetica" w:hAnsi="Helvetica" w:cs="Helvetica"/>
              </w:rPr>
            </w:pPr>
            <w:r>
              <w:rPr>
                <w:rFonts w:ascii="Helvetica" w:hAnsi="Helvetica" w:cs="Helvetica"/>
              </w:rPr>
              <w:t>Concepto (s) de Ministerio de Comercio, Industria y Turismo</w:t>
            </w:r>
          </w:p>
          <w:p w14:paraId="1F2E7774" w14:textId="77777777" w:rsidR="00291721" w:rsidRDefault="00291721" w:rsidP="00291721">
            <w:pPr>
              <w:jc w:val="both"/>
              <w:rPr>
                <w:rFonts w:ascii="Helvetica" w:hAnsi="Helvetica" w:cs="Helvetica"/>
              </w:rPr>
            </w:pPr>
            <w:r w:rsidRPr="00291721">
              <w:rPr>
                <w:rFonts w:ascii="Helvetica" w:hAnsi="Helvetica" w:cs="Helvetica"/>
                <w:i/>
                <w:color w:val="808080" w:themeColor="background1" w:themeShade="80"/>
              </w:rPr>
              <w:t>(</w:t>
            </w:r>
            <w:r>
              <w:rPr>
                <w:rFonts w:ascii="Helvetica" w:hAnsi="Helvetica" w:cs="Helvetica"/>
                <w:i/>
                <w:color w:val="808080" w:themeColor="background1" w:themeShade="80"/>
              </w:rPr>
              <w:t>Cu</w:t>
            </w:r>
            <w:r w:rsidRPr="00291721">
              <w:rPr>
                <w:rFonts w:ascii="Helvetica" w:hAnsi="Helvetica" w:cs="Helvetica"/>
                <w:i/>
                <w:color w:val="808080" w:themeColor="background1" w:themeShade="80"/>
              </w:rPr>
              <w:t>a</w:t>
            </w:r>
            <w:r>
              <w:rPr>
                <w:rFonts w:ascii="Helvetica" w:hAnsi="Helvetica" w:cs="Helvetica"/>
                <w:i/>
                <w:color w:val="808080" w:themeColor="background1" w:themeShade="80"/>
              </w:rPr>
              <w:t>ndo se trate de un proyecto de reglamento técnico o de procedimientos de evaluación de conformidad</w:t>
            </w:r>
            <w:r w:rsidRPr="00291721">
              <w:rPr>
                <w:rFonts w:ascii="Helvetica" w:hAnsi="Helvetica" w:cs="Helvetica"/>
                <w:i/>
                <w:color w:val="808080" w:themeColor="background1" w:themeShade="80"/>
              </w:rPr>
              <w:t>)</w:t>
            </w:r>
          </w:p>
        </w:tc>
        <w:tc>
          <w:tcPr>
            <w:tcW w:w="4111" w:type="dxa"/>
            <w:vAlign w:val="center"/>
          </w:tcPr>
          <w:p w14:paraId="54A954D0" w14:textId="77777777" w:rsidR="00291721" w:rsidRPr="008E280B" w:rsidRDefault="00291721" w:rsidP="00291721">
            <w:pPr>
              <w:jc w:val="center"/>
              <w:rPr>
                <w:rFonts w:ascii="Helvetica" w:hAnsi="Helvetica" w:cs="Helvetica"/>
                <w:i/>
              </w:rPr>
            </w:pPr>
            <w:r w:rsidRPr="008E280B">
              <w:rPr>
                <w:rFonts w:ascii="Helvetica" w:hAnsi="Helvetica" w:cs="Helvetica"/>
                <w:i/>
              </w:rPr>
              <w:t>N/A</w:t>
            </w:r>
          </w:p>
        </w:tc>
      </w:tr>
      <w:tr w:rsidR="00291721" w:rsidRPr="0038153B" w14:paraId="4358ABEE" w14:textId="77777777" w:rsidTr="221773A6">
        <w:tc>
          <w:tcPr>
            <w:tcW w:w="7088" w:type="dxa"/>
            <w:gridSpan w:val="2"/>
          </w:tcPr>
          <w:p w14:paraId="2A92A8CF" w14:textId="77777777" w:rsidR="00291721" w:rsidRDefault="00291721" w:rsidP="00291721">
            <w:pPr>
              <w:jc w:val="both"/>
              <w:rPr>
                <w:rFonts w:ascii="Helvetica" w:hAnsi="Helvetica" w:cs="Helvetica"/>
              </w:rPr>
            </w:pPr>
            <w:r>
              <w:rPr>
                <w:rFonts w:ascii="Helvetica" w:hAnsi="Helvetica" w:cs="Helvetica"/>
              </w:rPr>
              <w:t>Informe de observaciones y respuestas</w:t>
            </w:r>
          </w:p>
          <w:p w14:paraId="5762CA1D" w14:textId="77777777" w:rsidR="00291721" w:rsidRDefault="00291721" w:rsidP="00291721">
            <w:pPr>
              <w:jc w:val="both"/>
              <w:rPr>
                <w:rFonts w:ascii="Helvetica" w:hAnsi="Helvetica" w:cs="Helvetica"/>
              </w:rPr>
            </w:pPr>
            <w:r w:rsidRPr="00291721">
              <w:rPr>
                <w:rFonts w:ascii="Helvetica" w:hAnsi="Helvetica" w:cs="Helvetica"/>
                <w:i/>
                <w:color w:val="808080" w:themeColor="background1" w:themeShade="80"/>
              </w:rPr>
              <w:t>(</w:t>
            </w:r>
            <w:r>
              <w:rPr>
                <w:rFonts w:ascii="Helvetica" w:hAnsi="Helvetica" w:cs="Helvetica"/>
                <w:i/>
                <w:color w:val="808080" w:themeColor="background1" w:themeShade="80"/>
              </w:rPr>
              <w:t>Análisis del informe con la evaluación de las observaciones de los ciudadanos y grupos de interés sobre el proyecto normativo</w:t>
            </w:r>
            <w:r w:rsidRPr="00291721">
              <w:rPr>
                <w:rFonts w:ascii="Helvetica" w:hAnsi="Helvetica" w:cs="Helvetica"/>
                <w:i/>
                <w:color w:val="808080" w:themeColor="background1" w:themeShade="80"/>
              </w:rPr>
              <w:t>)</w:t>
            </w:r>
          </w:p>
        </w:tc>
        <w:tc>
          <w:tcPr>
            <w:tcW w:w="4111" w:type="dxa"/>
            <w:vAlign w:val="center"/>
          </w:tcPr>
          <w:p w14:paraId="03F0AE3A" w14:textId="77777777" w:rsidR="00291721" w:rsidRPr="008E280B" w:rsidRDefault="00291721" w:rsidP="00291721">
            <w:pPr>
              <w:jc w:val="center"/>
              <w:rPr>
                <w:rFonts w:ascii="Helvetica" w:hAnsi="Helvetica" w:cs="Helvetica"/>
                <w:i/>
              </w:rPr>
            </w:pPr>
            <w:r w:rsidRPr="008E280B">
              <w:rPr>
                <w:rFonts w:ascii="Helvetica" w:hAnsi="Helvetica" w:cs="Helvetica"/>
                <w:i/>
              </w:rPr>
              <w:t>X</w:t>
            </w:r>
          </w:p>
        </w:tc>
      </w:tr>
      <w:tr w:rsidR="00291721" w:rsidRPr="0038153B" w14:paraId="7B1BFC99" w14:textId="77777777" w:rsidTr="221773A6">
        <w:tc>
          <w:tcPr>
            <w:tcW w:w="7088" w:type="dxa"/>
            <w:gridSpan w:val="2"/>
          </w:tcPr>
          <w:p w14:paraId="3BC8A087" w14:textId="77777777" w:rsidR="00291721" w:rsidRDefault="00291721" w:rsidP="00291721">
            <w:pPr>
              <w:jc w:val="both"/>
              <w:rPr>
                <w:rFonts w:ascii="Helvetica" w:hAnsi="Helvetica" w:cs="Helvetica"/>
              </w:rPr>
            </w:pPr>
            <w:r>
              <w:rPr>
                <w:rFonts w:ascii="Helvetica" w:hAnsi="Helvetica" w:cs="Helvetica"/>
              </w:rPr>
              <w:t>Concepto de Abogacía de la Competencia de la Superintendencia de Industria y Comercio</w:t>
            </w:r>
          </w:p>
          <w:p w14:paraId="1AC3376F" w14:textId="77777777" w:rsidR="00291721" w:rsidRDefault="00291721" w:rsidP="00291721">
            <w:pPr>
              <w:jc w:val="both"/>
              <w:rPr>
                <w:rFonts w:ascii="Helvetica" w:hAnsi="Helvetica" w:cs="Helvetica"/>
              </w:rPr>
            </w:pPr>
            <w:r w:rsidRPr="00291721">
              <w:rPr>
                <w:rFonts w:ascii="Helvetica" w:hAnsi="Helvetica" w:cs="Helvetica"/>
                <w:i/>
                <w:color w:val="808080" w:themeColor="background1" w:themeShade="80"/>
              </w:rPr>
              <w:t>(</w:t>
            </w:r>
            <w:r>
              <w:rPr>
                <w:rFonts w:ascii="Helvetica" w:hAnsi="Helvetica" w:cs="Helvetica"/>
                <w:i/>
                <w:color w:val="808080" w:themeColor="background1" w:themeShade="80"/>
              </w:rPr>
              <w:t>Cu</w:t>
            </w:r>
            <w:r w:rsidRPr="00291721">
              <w:rPr>
                <w:rFonts w:ascii="Helvetica" w:hAnsi="Helvetica" w:cs="Helvetica"/>
                <w:i/>
                <w:color w:val="808080" w:themeColor="background1" w:themeShade="80"/>
              </w:rPr>
              <w:t>a</w:t>
            </w:r>
            <w:r>
              <w:rPr>
                <w:rFonts w:ascii="Helvetica" w:hAnsi="Helvetica" w:cs="Helvetica"/>
                <w:i/>
                <w:color w:val="808080" w:themeColor="background1" w:themeShade="80"/>
              </w:rPr>
              <w:t>ndo los proyectos normativos tengan incidencia en la libre competencia de los mercados</w:t>
            </w:r>
            <w:r w:rsidRPr="00291721">
              <w:rPr>
                <w:rFonts w:ascii="Helvetica" w:hAnsi="Helvetica" w:cs="Helvetica"/>
                <w:i/>
                <w:color w:val="808080" w:themeColor="background1" w:themeShade="80"/>
              </w:rPr>
              <w:t>)</w:t>
            </w:r>
          </w:p>
        </w:tc>
        <w:tc>
          <w:tcPr>
            <w:tcW w:w="4111" w:type="dxa"/>
            <w:vAlign w:val="center"/>
          </w:tcPr>
          <w:p w14:paraId="4E324F60" w14:textId="77777777" w:rsidR="00291721" w:rsidRPr="008E280B" w:rsidRDefault="00291721" w:rsidP="00291721">
            <w:pPr>
              <w:jc w:val="center"/>
              <w:rPr>
                <w:rFonts w:ascii="Helvetica" w:hAnsi="Helvetica" w:cs="Helvetica"/>
                <w:i/>
              </w:rPr>
            </w:pPr>
            <w:r w:rsidRPr="008E280B">
              <w:rPr>
                <w:rFonts w:ascii="Helvetica" w:hAnsi="Helvetica" w:cs="Helvetica"/>
                <w:i/>
              </w:rPr>
              <w:t>N/A</w:t>
            </w:r>
          </w:p>
        </w:tc>
      </w:tr>
      <w:tr w:rsidR="00291721" w:rsidRPr="0038153B" w14:paraId="2A960B39" w14:textId="77777777" w:rsidTr="221773A6">
        <w:tc>
          <w:tcPr>
            <w:tcW w:w="7088" w:type="dxa"/>
            <w:gridSpan w:val="2"/>
          </w:tcPr>
          <w:p w14:paraId="7BB67AE8" w14:textId="77777777" w:rsidR="008E280B" w:rsidRDefault="008E280B" w:rsidP="008E280B">
            <w:pPr>
              <w:jc w:val="both"/>
              <w:rPr>
                <w:rFonts w:ascii="Helvetica" w:hAnsi="Helvetica" w:cs="Helvetica"/>
              </w:rPr>
            </w:pPr>
            <w:r>
              <w:rPr>
                <w:rFonts w:ascii="Helvetica" w:hAnsi="Helvetica" w:cs="Helvetica"/>
              </w:rPr>
              <w:t>Concepto de aprobación nuevos trámites del Departamento Administrativo de la Función Pública</w:t>
            </w:r>
          </w:p>
          <w:p w14:paraId="229603E7" w14:textId="77777777" w:rsidR="00291721" w:rsidRDefault="008E280B" w:rsidP="008E280B">
            <w:pPr>
              <w:jc w:val="both"/>
              <w:rPr>
                <w:rFonts w:ascii="Helvetica" w:hAnsi="Helvetica" w:cs="Helvetica"/>
              </w:rPr>
            </w:pPr>
            <w:r w:rsidRPr="00291721">
              <w:rPr>
                <w:rFonts w:ascii="Helvetica" w:hAnsi="Helvetica" w:cs="Helvetica"/>
                <w:i/>
                <w:color w:val="808080" w:themeColor="background1" w:themeShade="80"/>
              </w:rPr>
              <w:t>(</w:t>
            </w:r>
            <w:r>
              <w:rPr>
                <w:rFonts w:ascii="Helvetica" w:hAnsi="Helvetica" w:cs="Helvetica"/>
                <w:i/>
                <w:color w:val="808080" w:themeColor="background1" w:themeShade="80"/>
              </w:rPr>
              <w:t>Cu</w:t>
            </w:r>
            <w:r w:rsidRPr="00291721">
              <w:rPr>
                <w:rFonts w:ascii="Helvetica" w:hAnsi="Helvetica" w:cs="Helvetica"/>
                <w:i/>
                <w:color w:val="808080" w:themeColor="background1" w:themeShade="80"/>
              </w:rPr>
              <w:t>a</w:t>
            </w:r>
            <w:r>
              <w:rPr>
                <w:rFonts w:ascii="Helvetica" w:hAnsi="Helvetica" w:cs="Helvetica"/>
                <w:i/>
                <w:color w:val="808080" w:themeColor="background1" w:themeShade="80"/>
              </w:rPr>
              <w:t>ndo el proyecto normativo adopte o modifique un trámite</w:t>
            </w:r>
            <w:r w:rsidRPr="00291721">
              <w:rPr>
                <w:rFonts w:ascii="Helvetica" w:hAnsi="Helvetica" w:cs="Helvetica"/>
                <w:i/>
                <w:color w:val="808080" w:themeColor="background1" w:themeShade="80"/>
              </w:rPr>
              <w:t>)</w:t>
            </w:r>
          </w:p>
        </w:tc>
        <w:tc>
          <w:tcPr>
            <w:tcW w:w="4111" w:type="dxa"/>
            <w:vAlign w:val="center"/>
          </w:tcPr>
          <w:p w14:paraId="702084DD" w14:textId="77777777" w:rsidR="00291721" w:rsidRPr="008E280B" w:rsidRDefault="008E280B" w:rsidP="00291721">
            <w:pPr>
              <w:jc w:val="center"/>
              <w:rPr>
                <w:rFonts w:ascii="Helvetica" w:hAnsi="Helvetica" w:cs="Helvetica"/>
                <w:i/>
              </w:rPr>
            </w:pPr>
            <w:r w:rsidRPr="008E280B">
              <w:rPr>
                <w:rFonts w:ascii="Helvetica" w:hAnsi="Helvetica" w:cs="Helvetica"/>
                <w:i/>
              </w:rPr>
              <w:t>N/A</w:t>
            </w:r>
          </w:p>
        </w:tc>
      </w:tr>
      <w:tr w:rsidR="008E280B" w:rsidRPr="0038153B" w14:paraId="1010B75D" w14:textId="77777777" w:rsidTr="221773A6">
        <w:tc>
          <w:tcPr>
            <w:tcW w:w="7088" w:type="dxa"/>
            <w:gridSpan w:val="2"/>
          </w:tcPr>
          <w:p w14:paraId="593943C6" w14:textId="77777777" w:rsidR="008E280B" w:rsidRDefault="008E280B" w:rsidP="008E280B">
            <w:pPr>
              <w:jc w:val="both"/>
              <w:rPr>
                <w:rFonts w:ascii="Helvetica" w:hAnsi="Helvetica" w:cs="Helvetica"/>
              </w:rPr>
            </w:pPr>
            <w:r>
              <w:rPr>
                <w:rFonts w:ascii="Helvetica" w:hAnsi="Helvetica" w:cs="Helvetica"/>
              </w:rPr>
              <w:t>Otro</w:t>
            </w:r>
          </w:p>
          <w:p w14:paraId="04E9FA5F" w14:textId="77777777" w:rsidR="008E280B" w:rsidRDefault="008E280B" w:rsidP="008E280B">
            <w:pPr>
              <w:jc w:val="both"/>
              <w:rPr>
                <w:rFonts w:ascii="Helvetica" w:hAnsi="Helvetica" w:cs="Helvetica"/>
              </w:rPr>
            </w:pPr>
            <w:r w:rsidRPr="00291721">
              <w:rPr>
                <w:rFonts w:ascii="Helvetica" w:hAnsi="Helvetica" w:cs="Helvetica"/>
                <w:i/>
                <w:color w:val="808080" w:themeColor="background1" w:themeShade="80"/>
              </w:rPr>
              <w:t>(</w:t>
            </w:r>
            <w:r>
              <w:rPr>
                <w:rFonts w:ascii="Helvetica" w:hAnsi="Helvetica" w:cs="Helvetica"/>
                <w:i/>
                <w:color w:val="808080" w:themeColor="background1" w:themeShade="80"/>
              </w:rPr>
              <w:t>Cu</w:t>
            </w:r>
            <w:r w:rsidRPr="00291721">
              <w:rPr>
                <w:rFonts w:ascii="Helvetica" w:hAnsi="Helvetica" w:cs="Helvetica"/>
                <w:i/>
                <w:color w:val="808080" w:themeColor="background1" w:themeShade="80"/>
              </w:rPr>
              <w:t>a</w:t>
            </w:r>
            <w:r>
              <w:rPr>
                <w:rFonts w:ascii="Helvetica" w:hAnsi="Helvetica" w:cs="Helvetica"/>
                <w:i/>
                <w:color w:val="808080" w:themeColor="background1" w:themeShade="80"/>
              </w:rPr>
              <w:t>lquier otro aspecto que la entidad originadora de la norma considere relevante</w:t>
            </w:r>
            <w:r w:rsidRPr="00291721">
              <w:rPr>
                <w:rFonts w:ascii="Helvetica" w:hAnsi="Helvetica" w:cs="Helvetica"/>
                <w:i/>
                <w:color w:val="808080" w:themeColor="background1" w:themeShade="80"/>
              </w:rPr>
              <w:t>)</w:t>
            </w:r>
          </w:p>
        </w:tc>
        <w:tc>
          <w:tcPr>
            <w:tcW w:w="4111" w:type="dxa"/>
            <w:vAlign w:val="center"/>
          </w:tcPr>
          <w:p w14:paraId="1F36B028" w14:textId="77777777" w:rsidR="008E280B" w:rsidRPr="008E280B" w:rsidRDefault="008E280B" w:rsidP="00291721">
            <w:pPr>
              <w:jc w:val="center"/>
              <w:rPr>
                <w:rFonts w:ascii="Helvetica" w:hAnsi="Helvetica" w:cs="Helvetica"/>
                <w:i/>
              </w:rPr>
            </w:pPr>
            <w:r w:rsidRPr="008E280B">
              <w:rPr>
                <w:rFonts w:ascii="Helvetica" w:hAnsi="Helvetica" w:cs="Helvetica"/>
                <w:i/>
              </w:rPr>
              <w:t>N/A</w:t>
            </w:r>
          </w:p>
        </w:tc>
      </w:tr>
    </w:tbl>
    <w:p w14:paraId="6C57338A" w14:textId="77777777" w:rsidR="0038153B" w:rsidRDefault="0038153B"/>
    <w:p w14:paraId="68611D48" w14:textId="77777777" w:rsidR="00821559" w:rsidRDefault="00821559">
      <w:pPr>
        <w:rPr>
          <w:rFonts w:ascii="Helvetica" w:hAnsi="Helvetica" w:cs="Helvetica"/>
          <w:sz w:val="24"/>
          <w:szCs w:val="24"/>
        </w:rPr>
      </w:pPr>
      <w:r w:rsidRPr="00821559">
        <w:rPr>
          <w:rFonts w:ascii="Helvetica" w:hAnsi="Helvetica" w:cs="Helvetica"/>
          <w:sz w:val="24"/>
          <w:szCs w:val="24"/>
        </w:rPr>
        <w:t>Aprobó</w:t>
      </w:r>
      <w:r>
        <w:rPr>
          <w:rFonts w:ascii="Helvetica" w:hAnsi="Helvetica" w:cs="Helvetica"/>
          <w:sz w:val="24"/>
          <w:szCs w:val="24"/>
        </w:rPr>
        <w:t>:</w:t>
      </w:r>
    </w:p>
    <w:p w14:paraId="70AD3F93" w14:textId="77777777" w:rsidR="00821559" w:rsidRDefault="005A3F3C">
      <w:pPr>
        <w:rPr>
          <w:rFonts w:ascii="Helvetica" w:hAnsi="Helvetica" w:cs="Helvetica"/>
          <w:sz w:val="24"/>
          <w:szCs w:val="24"/>
        </w:rPr>
      </w:pPr>
      <w:r>
        <w:rPr>
          <w:rFonts w:ascii="Helvetica" w:hAnsi="Helvetica" w:cs="Helvetica"/>
          <w:noProof/>
          <w:sz w:val="24"/>
          <w:szCs w:val="24"/>
          <w:lang w:eastAsia="es-CO"/>
        </w:rPr>
        <mc:AlternateContent>
          <mc:Choice Requires="wps">
            <w:drawing>
              <wp:anchor distT="0" distB="0" distL="114300" distR="114300" simplePos="0" relativeHeight="251661312" behindDoc="0" locked="0" layoutInCell="1" allowOverlap="1" wp14:anchorId="1F1B3DFA" wp14:editId="73255757">
                <wp:simplePos x="0" y="0"/>
                <wp:positionH relativeFrom="column">
                  <wp:posOffset>522113</wp:posOffset>
                </wp:positionH>
                <wp:positionV relativeFrom="paragraph">
                  <wp:posOffset>219279</wp:posOffset>
                </wp:positionV>
                <wp:extent cx="3183147" cy="17253"/>
                <wp:effectExtent l="0" t="0" r="36830" b="20955"/>
                <wp:wrapNone/>
                <wp:docPr id="2" name="Conector recto 2"/>
                <wp:cNvGraphicFramePr/>
                <a:graphic xmlns:a="http://schemas.openxmlformats.org/drawingml/2006/main">
                  <a:graphicData uri="http://schemas.microsoft.com/office/word/2010/wordprocessingShape">
                    <wps:wsp>
                      <wps:cNvCnPr/>
                      <wps:spPr>
                        <a:xfrm>
                          <a:off x="0" y="0"/>
                          <a:ext cx="3183147" cy="17253"/>
                        </a:xfrm>
                        <a:prstGeom prst="line">
                          <a:avLst/>
                        </a:prstGeom>
                        <a:ln w="952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3451512E">
              <v:line id="Conector recto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0d0d0d [3069]" from="41.1pt,17.25pt" to="291.75pt,18.6pt" w14:anchorId="71B41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">
                <v:stroke joinstyle="miter"/>
              </v:line>
            </w:pict>
          </mc:Fallback>
        </mc:AlternateContent>
      </w:r>
    </w:p>
    <w:p w14:paraId="22DC1E8C" w14:textId="77777777" w:rsidR="00913846" w:rsidRDefault="00913846" w:rsidP="00821559">
      <w:pPr>
        <w:spacing w:after="0"/>
        <w:ind w:firstLine="708"/>
        <w:rPr>
          <w:rFonts w:ascii="Helvetica" w:hAnsi="Helvetica" w:cs="Helvetica"/>
          <w:sz w:val="24"/>
          <w:szCs w:val="24"/>
        </w:rPr>
      </w:pPr>
      <w:r w:rsidRPr="00913846">
        <w:rPr>
          <w:rFonts w:ascii="Helvetica" w:hAnsi="Helvetica" w:cs="Helvetica"/>
          <w:sz w:val="24"/>
          <w:szCs w:val="24"/>
        </w:rPr>
        <w:t xml:space="preserve">Juan Manuel Reyes Álvarez </w:t>
      </w:r>
    </w:p>
    <w:p w14:paraId="097CB920" w14:textId="3A928A9B" w:rsidR="00821559" w:rsidRDefault="00821559" w:rsidP="00821559">
      <w:pPr>
        <w:spacing w:after="0"/>
        <w:ind w:firstLine="708"/>
        <w:rPr>
          <w:rFonts w:ascii="Helvetica" w:hAnsi="Helvetica" w:cs="Helvetica"/>
          <w:sz w:val="24"/>
          <w:szCs w:val="24"/>
        </w:rPr>
      </w:pPr>
      <w:r>
        <w:rPr>
          <w:rFonts w:ascii="Helvetica" w:hAnsi="Helvetica" w:cs="Helvetica"/>
          <w:sz w:val="24"/>
          <w:szCs w:val="24"/>
        </w:rPr>
        <w:t>Director Jurídico del Departamento Administrativo de la Función Pública</w:t>
      </w:r>
    </w:p>
    <w:p w14:paraId="10D6C69C" w14:textId="77777777" w:rsidR="005A3F3C" w:rsidRDefault="005A3F3C" w:rsidP="00821559">
      <w:pPr>
        <w:spacing w:after="0"/>
        <w:ind w:firstLine="708"/>
        <w:rPr>
          <w:rFonts w:ascii="Helvetica" w:hAnsi="Helvetica" w:cs="Helvetica"/>
          <w:sz w:val="24"/>
          <w:szCs w:val="24"/>
        </w:rPr>
      </w:pPr>
    </w:p>
    <w:p w14:paraId="1A8E1B2D" w14:textId="77777777" w:rsidR="005A3F3C" w:rsidRDefault="005A3F3C" w:rsidP="00821559">
      <w:pPr>
        <w:spacing w:after="0"/>
        <w:ind w:firstLine="708"/>
        <w:rPr>
          <w:rFonts w:ascii="Helvetica" w:hAnsi="Helvetica" w:cs="Helvetica"/>
          <w:sz w:val="24"/>
          <w:szCs w:val="24"/>
        </w:rPr>
      </w:pPr>
    </w:p>
    <w:p w14:paraId="58B55248" w14:textId="77777777" w:rsidR="005A3F3C" w:rsidRDefault="005A3F3C" w:rsidP="00821559">
      <w:pPr>
        <w:spacing w:after="0"/>
        <w:ind w:firstLine="708"/>
        <w:rPr>
          <w:rFonts w:ascii="Helvetica" w:hAnsi="Helvetica" w:cs="Helvetica"/>
          <w:sz w:val="24"/>
          <w:szCs w:val="24"/>
        </w:rPr>
      </w:pPr>
    </w:p>
    <w:p w14:paraId="3F227231" w14:textId="77777777" w:rsidR="00821559" w:rsidRDefault="00821559" w:rsidP="00821559">
      <w:pPr>
        <w:spacing w:after="0"/>
        <w:ind w:firstLine="708"/>
        <w:rPr>
          <w:rFonts w:ascii="Helvetica" w:hAnsi="Helvetica" w:cs="Helvetica"/>
          <w:sz w:val="24"/>
          <w:szCs w:val="24"/>
        </w:rPr>
      </w:pPr>
    </w:p>
    <w:p w14:paraId="4C8976C6" w14:textId="77777777" w:rsidR="00913846" w:rsidRDefault="00913846" w:rsidP="00913846">
      <w:pPr>
        <w:ind w:left="142"/>
        <w:jc w:val="both"/>
        <w:rPr>
          <w:rFonts w:ascii="Helvetica" w:hAnsi="Helvetica" w:cs="Arial"/>
          <w:sz w:val="13"/>
          <w:szCs w:val="13"/>
        </w:rPr>
      </w:pPr>
      <w:r w:rsidRPr="00FE54EE">
        <w:rPr>
          <w:rFonts w:ascii="Helvetica" w:hAnsi="Helvetica" w:cs="Arial"/>
          <w:sz w:val="13"/>
          <w:szCs w:val="13"/>
        </w:rPr>
        <w:t>Proyectó: Iván Arturo Márquez Rincón</w:t>
      </w:r>
      <w:r>
        <w:rPr>
          <w:rFonts w:ascii="Helvetica" w:hAnsi="Helvetica" w:cs="Arial"/>
          <w:sz w:val="13"/>
          <w:szCs w:val="13"/>
        </w:rPr>
        <w:t>/Myrian Cubillos Benavides</w:t>
      </w:r>
    </w:p>
    <w:p w14:paraId="509E5C0D" w14:textId="77777777" w:rsidR="00913846" w:rsidRPr="00FE54EE" w:rsidRDefault="00913846" w:rsidP="00913846">
      <w:pPr>
        <w:ind w:left="142"/>
        <w:jc w:val="both"/>
        <w:rPr>
          <w:rFonts w:ascii="Helvetica" w:hAnsi="Helvetica" w:cs="Arial"/>
          <w:sz w:val="13"/>
          <w:szCs w:val="13"/>
        </w:rPr>
      </w:pPr>
      <w:r w:rsidRPr="00FE54EE">
        <w:rPr>
          <w:rFonts w:ascii="Helvetica" w:hAnsi="Helvetica" w:cs="Arial"/>
          <w:sz w:val="13"/>
          <w:szCs w:val="13"/>
        </w:rPr>
        <w:t>Revisó:</w:t>
      </w:r>
      <w:r>
        <w:rPr>
          <w:rFonts w:ascii="Helvetica" w:hAnsi="Helvetica" w:cs="Arial"/>
          <w:sz w:val="13"/>
          <w:szCs w:val="13"/>
        </w:rPr>
        <w:t xml:space="preserve"> Luz Daifenis Arango Rivera</w:t>
      </w:r>
    </w:p>
    <w:p w14:paraId="27839A11" w14:textId="09AEF5B6" w:rsidR="00821559" w:rsidRDefault="00821559" w:rsidP="00821559">
      <w:pPr>
        <w:spacing w:after="0"/>
        <w:ind w:firstLine="708"/>
        <w:rPr>
          <w:rFonts w:ascii="Helvetica" w:hAnsi="Helvetica" w:cs="Helvetica"/>
          <w:sz w:val="24"/>
          <w:szCs w:val="24"/>
        </w:rPr>
      </w:pPr>
    </w:p>
    <w:p w14:paraId="71B3B0D6" w14:textId="77777777" w:rsidR="00821559" w:rsidRPr="00821559" w:rsidRDefault="00821559" w:rsidP="00821559">
      <w:pPr>
        <w:spacing w:after="0"/>
        <w:ind w:firstLine="708"/>
        <w:rPr>
          <w:rFonts w:ascii="Helvetica" w:hAnsi="Helvetica" w:cs="Helvetica"/>
          <w:sz w:val="24"/>
          <w:szCs w:val="24"/>
        </w:rPr>
      </w:pPr>
    </w:p>
    <w:sectPr w:rsidR="00821559" w:rsidRPr="00821559" w:rsidSect="007C7DB4">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7C30" w14:textId="77777777" w:rsidR="003E0528" w:rsidRDefault="003E0528" w:rsidP="007B3441">
      <w:pPr>
        <w:spacing w:after="0" w:line="240" w:lineRule="auto"/>
      </w:pPr>
      <w:r>
        <w:separator/>
      </w:r>
    </w:p>
  </w:endnote>
  <w:endnote w:type="continuationSeparator" w:id="0">
    <w:p w14:paraId="34C59238" w14:textId="77777777" w:rsidR="003E0528" w:rsidRDefault="003E0528" w:rsidP="007B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6427" w14:textId="77777777" w:rsidR="0047662A" w:rsidRDefault="004766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365614"/>
      <w:docPartObj>
        <w:docPartGallery w:val="Page Numbers (Bottom of Page)"/>
        <w:docPartUnique/>
      </w:docPartObj>
    </w:sdtPr>
    <w:sdtContent>
      <w:p w14:paraId="0D8EF342" w14:textId="77777777" w:rsidR="00015863" w:rsidRDefault="00015863">
        <w:pPr>
          <w:pStyle w:val="Piedepgina"/>
          <w:jc w:val="right"/>
        </w:pPr>
        <w:r>
          <w:fldChar w:fldCharType="begin"/>
        </w:r>
        <w:r>
          <w:instrText>PAGE   \* MERGEFORMAT</w:instrText>
        </w:r>
        <w:r>
          <w:fldChar w:fldCharType="separate"/>
        </w:r>
        <w:r w:rsidR="0047662A" w:rsidRPr="0047662A">
          <w:rPr>
            <w:noProof/>
            <w:lang w:val="es-ES"/>
          </w:rPr>
          <w:t>2</w:t>
        </w:r>
        <w:r>
          <w:fldChar w:fldCharType="end"/>
        </w:r>
      </w:p>
    </w:sdtContent>
  </w:sdt>
  <w:p w14:paraId="4016D23D" w14:textId="77777777" w:rsidR="00015863" w:rsidRDefault="0001586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7641" w14:textId="77777777" w:rsidR="0047662A" w:rsidRDefault="004766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8953" w14:textId="77777777" w:rsidR="003E0528" w:rsidRDefault="003E0528" w:rsidP="007B3441">
      <w:pPr>
        <w:spacing w:after="0" w:line="240" w:lineRule="auto"/>
      </w:pPr>
      <w:r>
        <w:separator/>
      </w:r>
    </w:p>
  </w:footnote>
  <w:footnote w:type="continuationSeparator" w:id="0">
    <w:p w14:paraId="7AFE49DA" w14:textId="77777777" w:rsidR="003E0528" w:rsidRDefault="003E0528" w:rsidP="007B3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685F" w14:textId="77777777" w:rsidR="0047662A" w:rsidRDefault="004766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222343"/>
      <w:docPartObj>
        <w:docPartGallery w:val="Watermarks"/>
        <w:docPartUnique/>
      </w:docPartObj>
    </w:sdtPr>
    <w:sdtContent>
      <w:p w14:paraId="7EABAFCC" w14:textId="77777777" w:rsidR="0047662A" w:rsidRDefault="003E0528">
        <w:pPr>
          <w:pStyle w:val="Encabezado"/>
        </w:pPr>
        <w:r>
          <w:pict w14:anchorId="48157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ORRADO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6DC7" w14:textId="77777777" w:rsidR="0047662A" w:rsidRDefault="004766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8757E"/>
    <w:multiLevelType w:val="hybridMultilevel"/>
    <w:tmpl w:val="D8606034"/>
    <w:lvl w:ilvl="0" w:tplc="6DB8BFF6">
      <w:start w:val="3"/>
      <w:numFmt w:val="bullet"/>
      <w:lvlText w:val="-"/>
      <w:lvlJc w:val="left"/>
      <w:pPr>
        <w:ind w:left="720"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31A30BC"/>
    <w:multiLevelType w:val="multilevel"/>
    <w:tmpl w:val="B6EC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81618E"/>
    <w:multiLevelType w:val="hybridMultilevel"/>
    <w:tmpl w:val="8AD203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E3C20A3"/>
    <w:multiLevelType w:val="multilevel"/>
    <w:tmpl w:val="9176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668585">
    <w:abstractNumId w:val="0"/>
  </w:num>
  <w:num w:numId="2" w16cid:durableId="1617983649">
    <w:abstractNumId w:val="3"/>
  </w:num>
  <w:num w:numId="3" w16cid:durableId="1256015245">
    <w:abstractNumId w:val="1"/>
  </w:num>
  <w:num w:numId="4" w16cid:durableId="339090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DB4"/>
    <w:rsid w:val="000067D0"/>
    <w:rsid w:val="0000695D"/>
    <w:rsid w:val="00015863"/>
    <w:rsid w:val="000227F8"/>
    <w:rsid w:val="00052AB7"/>
    <w:rsid w:val="00053602"/>
    <w:rsid w:val="00062AE7"/>
    <w:rsid w:val="00075736"/>
    <w:rsid w:val="00075818"/>
    <w:rsid w:val="000906BA"/>
    <w:rsid w:val="000A2342"/>
    <w:rsid w:val="000A2E17"/>
    <w:rsid w:val="000A5C91"/>
    <w:rsid w:val="000A61D4"/>
    <w:rsid w:val="000B7BE2"/>
    <w:rsid w:val="000D3943"/>
    <w:rsid w:val="000E1F12"/>
    <w:rsid w:val="000E2D2C"/>
    <w:rsid w:val="000E5563"/>
    <w:rsid w:val="000F17DA"/>
    <w:rsid w:val="0011455F"/>
    <w:rsid w:val="001208B0"/>
    <w:rsid w:val="0012601E"/>
    <w:rsid w:val="00165475"/>
    <w:rsid w:val="00165DF8"/>
    <w:rsid w:val="00167F24"/>
    <w:rsid w:val="00180AE7"/>
    <w:rsid w:val="00180D49"/>
    <w:rsid w:val="001812E0"/>
    <w:rsid w:val="00182439"/>
    <w:rsid w:val="0019607D"/>
    <w:rsid w:val="001A52E2"/>
    <w:rsid w:val="001B135D"/>
    <w:rsid w:val="001B61EC"/>
    <w:rsid w:val="001B6355"/>
    <w:rsid w:val="001C0E70"/>
    <w:rsid w:val="001E1DBB"/>
    <w:rsid w:val="0021147D"/>
    <w:rsid w:val="00211FC0"/>
    <w:rsid w:val="00214D46"/>
    <w:rsid w:val="00220194"/>
    <w:rsid w:val="00232AA6"/>
    <w:rsid w:val="002335DB"/>
    <w:rsid w:val="002366F8"/>
    <w:rsid w:val="00236891"/>
    <w:rsid w:val="0024072C"/>
    <w:rsid w:val="00256AF3"/>
    <w:rsid w:val="00280D13"/>
    <w:rsid w:val="00282A0D"/>
    <w:rsid w:val="00291062"/>
    <w:rsid w:val="00291721"/>
    <w:rsid w:val="00293385"/>
    <w:rsid w:val="002A13B0"/>
    <w:rsid w:val="002A5698"/>
    <w:rsid w:val="002B3FE9"/>
    <w:rsid w:val="002B44DE"/>
    <w:rsid w:val="002B5DD7"/>
    <w:rsid w:val="002B79F9"/>
    <w:rsid w:val="002C3EA4"/>
    <w:rsid w:val="002C5353"/>
    <w:rsid w:val="00301804"/>
    <w:rsid w:val="00303394"/>
    <w:rsid w:val="003076A8"/>
    <w:rsid w:val="00323F00"/>
    <w:rsid w:val="00344FAC"/>
    <w:rsid w:val="00354B0F"/>
    <w:rsid w:val="003656C5"/>
    <w:rsid w:val="00380DB1"/>
    <w:rsid w:val="0038153B"/>
    <w:rsid w:val="00397059"/>
    <w:rsid w:val="00397FB5"/>
    <w:rsid w:val="003A43EB"/>
    <w:rsid w:val="003A6CDD"/>
    <w:rsid w:val="003B65C4"/>
    <w:rsid w:val="003B66FE"/>
    <w:rsid w:val="003C1C9F"/>
    <w:rsid w:val="003C4587"/>
    <w:rsid w:val="003E0528"/>
    <w:rsid w:val="003E3BB7"/>
    <w:rsid w:val="003F76C2"/>
    <w:rsid w:val="0041552C"/>
    <w:rsid w:val="0042549F"/>
    <w:rsid w:val="00430C62"/>
    <w:rsid w:val="00430EE4"/>
    <w:rsid w:val="004320D3"/>
    <w:rsid w:val="0043362C"/>
    <w:rsid w:val="00435DE9"/>
    <w:rsid w:val="00437ED3"/>
    <w:rsid w:val="004528F1"/>
    <w:rsid w:val="0047662A"/>
    <w:rsid w:val="0048590E"/>
    <w:rsid w:val="004870CB"/>
    <w:rsid w:val="004A1E7E"/>
    <w:rsid w:val="004B0130"/>
    <w:rsid w:val="004B236C"/>
    <w:rsid w:val="004B59BF"/>
    <w:rsid w:val="004C65F8"/>
    <w:rsid w:val="004C65FF"/>
    <w:rsid w:val="004D7616"/>
    <w:rsid w:val="004E3A40"/>
    <w:rsid w:val="004F25B3"/>
    <w:rsid w:val="00502CC5"/>
    <w:rsid w:val="0052612E"/>
    <w:rsid w:val="00535C33"/>
    <w:rsid w:val="00536E71"/>
    <w:rsid w:val="00545597"/>
    <w:rsid w:val="005464AB"/>
    <w:rsid w:val="0055218F"/>
    <w:rsid w:val="00552FD8"/>
    <w:rsid w:val="0056733E"/>
    <w:rsid w:val="00574606"/>
    <w:rsid w:val="0058108C"/>
    <w:rsid w:val="005836C8"/>
    <w:rsid w:val="005A3F3C"/>
    <w:rsid w:val="005A7AC4"/>
    <w:rsid w:val="005B3F9B"/>
    <w:rsid w:val="005B608A"/>
    <w:rsid w:val="005C6519"/>
    <w:rsid w:val="005C6CA8"/>
    <w:rsid w:val="005D0B9E"/>
    <w:rsid w:val="005E1CFB"/>
    <w:rsid w:val="005E1FAC"/>
    <w:rsid w:val="005E2F92"/>
    <w:rsid w:val="005E56A0"/>
    <w:rsid w:val="005F59DD"/>
    <w:rsid w:val="00601338"/>
    <w:rsid w:val="006033EA"/>
    <w:rsid w:val="006123E6"/>
    <w:rsid w:val="00615A77"/>
    <w:rsid w:val="006166DA"/>
    <w:rsid w:val="00636F4C"/>
    <w:rsid w:val="00637E94"/>
    <w:rsid w:val="0064027E"/>
    <w:rsid w:val="00641778"/>
    <w:rsid w:val="006551FF"/>
    <w:rsid w:val="00656863"/>
    <w:rsid w:val="006629F4"/>
    <w:rsid w:val="006737D6"/>
    <w:rsid w:val="00677D40"/>
    <w:rsid w:val="00682A18"/>
    <w:rsid w:val="00692213"/>
    <w:rsid w:val="006925EF"/>
    <w:rsid w:val="006A317A"/>
    <w:rsid w:val="006A585C"/>
    <w:rsid w:val="006B6628"/>
    <w:rsid w:val="006D0DC3"/>
    <w:rsid w:val="006D20F0"/>
    <w:rsid w:val="006D25C2"/>
    <w:rsid w:val="006D3E0F"/>
    <w:rsid w:val="006F51F2"/>
    <w:rsid w:val="006F70E1"/>
    <w:rsid w:val="00701344"/>
    <w:rsid w:val="007013C6"/>
    <w:rsid w:val="00701BCE"/>
    <w:rsid w:val="00714517"/>
    <w:rsid w:val="007176DE"/>
    <w:rsid w:val="007240B6"/>
    <w:rsid w:val="0073258A"/>
    <w:rsid w:val="0073515A"/>
    <w:rsid w:val="00735BAE"/>
    <w:rsid w:val="00743D96"/>
    <w:rsid w:val="0075241F"/>
    <w:rsid w:val="00752D7F"/>
    <w:rsid w:val="00755713"/>
    <w:rsid w:val="00767495"/>
    <w:rsid w:val="0077379F"/>
    <w:rsid w:val="0078410F"/>
    <w:rsid w:val="007913E6"/>
    <w:rsid w:val="00793731"/>
    <w:rsid w:val="007B2921"/>
    <w:rsid w:val="007B3441"/>
    <w:rsid w:val="007B518C"/>
    <w:rsid w:val="007C3187"/>
    <w:rsid w:val="007C369B"/>
    <w:rsid w:val="007C7DB4"/>
    <w:rsid w:val="00800B6D"/>
    <w:rsid w:val="00821559"/>
    <w:rsid w:val="0082353A"/>
    <w:rsid w:val="00831990"/>
    <w:rsid w:val="00832FD8"/>
    <w:rsid w:val="00840014"/>
    <w:rsid w:val="008447AE"/>
    <w:rsid w:val="0085085C"/>
    <w:rsid w:val="00852190"/>
    <w:rsid w:val="00854E0E"/>
    <w:rsid w:val="008576CB"/>
    <w:rsid w:val="00866B5C"/>
    <w:rsid w:val="008870A9"/>
    <w:rsid w:val="00891F06"/>
    <w:rsid w:val="008C5A19"/>
    <w:rsid w:val="008D0654"/>
    <w:rsid w:val="008D3772"/>
    <w:rsid w:val="008D629F"/>
    <w:rsid w:val="008D7690"/>
    <w:rsid w:val="008E280B"/>
    <w:rsid w:val="008E384D"/>
    <w:rsid w:val="008F3ED7"/>
    <w:rsid w:val="008F4693"/>
    <w:rsid w:val="008F53B2"/>
    <w:rsid w:val="008F580F"/>
    <w:rsid w:val="0090130E"/>
    <w:rsid w:val="00913846"/>
    <w:rsid w:val="00916446"/>
    <w:rsid w:val="0091696B"/>
    <w:rsid w:val="009217B5"/>
    <w:rsid w:val="00975341"/>
    <w:rsid w:val="00977F9C"/>
    <w:rsid w:val="0099592B"/>
    <w:rsid w:val="009A2832"/>
    <w:rsid w:val="009A42CA"/>
    <w:rsid w:val="009B0AE3"/>
    <w:rsid w:val="009B66B8"/>
    <w:rsid w:val="009C3CEE"/>
    <w:rsid w:val="009E1714"/>
    <w:rsid w:val="009E3CDE"/>
    <w:rsid w:val="009E6A8A"/>
    <w:rsid w:val="009F0666"/>
    <w:rsid w:val="00A01746"/>
    <w:rsid w:val="00A047AB"/>
    <w:rsid w:val="00A04E01"/>
    <w:rsid w:val="00A05980"/>
    <w:rsid w:val="00A21074"/>
    <w:rsid w:val="00A421D2"/>
    <w:rsid w:val="00A45718"/>
    <w:rsid w:val="00A630E3"/>
    <w:rsid w:val="00A633FC"/>
    <w:rsid w:val="00A82374"/>
    <w:rsid w:val="00A830F7"/>
    <w:rsid w:val="00A831E4"/>
    <w:rsid w:val="00A84247"/>
    <w:rsid w:val="00A951B4"/>
    <w:rsid w:val="00AB2ED6"/>
    <w:rsid w:val="00AC7D58"/>
    <w:rsid w:val="00AE0CDE"/>
    <w:rsid w:val="00AF2F6E"/>
    <w:rsid w:val="00AF6613"/>
    <w:rsid w:val="00AF7C5D"/>
    <w:rsid w:val="00B040D9"/>
    <w:rsid w:val="00B05D1B"/>
    <w:rsid w:val="00B10B58"/>
    <w:rsid w:val="00B14F85"/>
    <w:rsid w:val="00B15BB4"/>
    <w:rsid w:val="00B17DF5"/>
    <w:rsid w:val="00B252B4"/>
    <w:rsid w:val="00B26CAA"/>
    <w:rsid w:val="00B32060"/>
    <w:rsid w:val="00B3443C"/>
    <w:rsid w:val="00B440AB"/>
    <w:rsid w:val="00B62F4A"/>
    <w:rsid w:val="00B71BB5"/>
    <w:rsid w:val="00B845E4"/>
    <w:rsid w:val="00B84EA9"/>
    <w:rsid w:val="00BB4D6D"/>
    <w:rsid w:val="00BC2007"/>
    <w:rsid w:val="00BE2570"/>
    <w:rsid w:val="00BE40B3"/>
    <w:rsid w:val="00C029F9"/>
    <w:rsid w:val="00C05163"/>
    <w:rsid w:val="00C13E8C"/>
    <w:rsid w:val="00C16D95"/>
    <w:rsid w:val="00C27F6E"/>
    <w:rsid w:val="00C3094B"/>
    <w:rsid w:val="00C40879"/>
    <w:rsid w:val="00C42853"/>
    <w:rsid w:val="00C56AA0"/>
    <w:rsid w:val="00C63E3D"/>
    <w:rsid w:val="00C648F6"/>
    <w:rsid w:val="00C65E1A"/>
    <w:rsid w:val="00C75547"/>
    <w:rsid w:val="00C75B5E"/>
    <w:rsid w:val="00C803B0"/>
    <w:rsid w:val="00C866B8"/>
    <w:rsid w:val="00C875B7"/>
    <w:rsid w:val="00C878AD"/>
    <w:rsid w:val="00C90A20"/>
    <w:rsid w:val="00CA0E62"/>
    <w:rsid w:val="00CA4C8B"/>
    <w:rsid w:val="00CA567C"/>
    <w:rsid w:val="00CC2A24"/>
    <w:rsid w:val="00CC2DD6"/>
    <w:rsid w:val="00CC4C25"/>
    <w:rsid w:val="00CD173C"/>
    <w:rsid w:val="00CE0E0D"/>
    <w:rsid w:val="00CE23C0"/>
    <w:rsid w:val="00CF2EC4"/>
    <w:rsid w:val="00CF46B3"/>
    <w:rsid w:val="00D07CD7"/>
    <w:rsid w:val="00D1257F"/>
    <w:rsid w:val="00D139F0"/>
    <w:rsid w:val="00D14F8F"/>
    <w:rsid w:val="00D27D64"/>
    <w:rsid w:val="00D66014"/>
    <w:rsid w:val="00D73C38"/>
    <w:rsid w:val="00D75210"/>
    <w:rsid w:val="00D766C5"/>
    <w:rsid w:val="00D93198"/>
    <w:rsid w:val="00DC0CD4"/>
    <w:rsid w:val="00DD17B2"/>
    <w:rsid w:val="00E059C8"/>
    <w:rsid w:val="00E14019"/>
    <w:rsid w:val="00E264D4"/>
    <w:rsid w:val="00E30693"/>
    <w:rsid w:val="00E44874"/>
    <w:rsid w:val="00E545BD"/>
    <w:rsid w:val="00E5695F"/>
    <w:rsid w:val="00E65167"/>
    <w:rsid w:val="00E666F9"/>
    <w:rsid w:val="00E723C0"/>
    <w:rsid w:val="00E74302"/>
    <w:rsid w:val="00E815F7"/>
    <w:rsid w:val="00E82328"/>
    <w:rsid w:val="00E82E7F"/>
    <w:rsid w:val="00E910E3"/>
    <w:rsid w:val="00E93442"/>
    <w:rsid w:val="00EA384B"/>
    <w:rsid w:val="00EA6414"/>
    <w:rsid w:val="00EB21E0"/>
    <w:rsid w:val="00EB3039"/>
    <w:rsid w:val="00EB6C66"/>
    <w:rsid w:val="00EC33A1"/>
    <w:rsid w:val="00EF6FBD"/>
    <w:rsid w:val="00F02C2A"/>
    <w:rsid w:val="00F3304C"/>
    <w:rsid w:val="00F34103"/>
    <w:rsid w:val="00F43D56"/>
    <w:rsid w:val="00F449BF"/>
    <w:rsid w:val="00F45F30"/>
    <w:rsid w:val="00F71907"/>
    <w:rsid w:val="00F75FE4"/>
    <w:rsid w:val="00F762F2"/>
    <w:rsid w:val="00F77051"/>
    <w:rsid w:val="00F85019"/>
    <w:rsid w:val="00F86D86"/>
    <w:rsid w:val="00F96038"/>
    <w:rsid w:val="00F973B3"/>
    <w:rsid w:val="00F9793F"/>
    <w:rsid w:val="00FB3E61"/>
    <w:rsid w:val="00FB43A2"/>
    <w:rsid w:val="00FB54E9"/>
    <w:rsid w:val="00FD0524"/>
    <w:rsid w:val="00FE3F91"/>
    <w:rsid w:val="00FF2599"/>
    <w:rsid w:val="00FF3663"/>
    <w:rsid w:val="221773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6A1D2"/>
  <w15:chartTrackingRefBased/>
  <w15:docId w15:val="{68246EF9-3503-4BC0-815F-E1E768D1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C7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02C2A"/>
    <w:pPr>
      <w:ind w:left="720"/>
      <w:contextualSpacing/>
    </w:pPr>
  </w:style>
  <w:style w:type="paragraph" w:styleId="Encabezado">
    <w:name w:val="header"/>
    <w:basedOn w:val="Normal"/>
    <w:link w:val="EncabezadoCar"/>
    <w:uiPriority w:val="99"/>
    <w:unhideWhenUsed/>
    <w:rsid w:val="007B34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3441"/>
  </w:style>
  <w:style w:type="paragraph" w:styleId="Piedepgina">
    <w:name w:val="footer"/>
    <w:basedOn w:val="Normal"/>
    <w:link w:val="PiedepginaCar"/>
    <w:uiPriority w:val="99"/>
    <w:unhideWhenUsed/>
    <w:rsid w:val="007B34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3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0499">
      <w:bodyDiv w:val="1"/>
      <w:marLeft w:val="0"/>
      <w:marRight w:val="0"/>
      <w:marTop w:val="0"/>
      <w:marBottom w:val="0"/>
      <w:divBdr>
        <w:top w:val="none" w:sz="0" w:space="0" w:color="auto"/>
        <w:left w:val="none" w:sz="0" w:space="0" w:color="auto"/>
        <w:bottom w:val="none" w:sz="0" w:space="0" w:color="auto"/>
        <w:right w:val="none" w:sz="0" w:space="0" w:color="auto"/>
      </w:divBdr>
    </w:div>
    <w:div w:id="351152202">
      <w:bodyDiv w:val="1"/>
      <w:marLeft w:val="0"/>
      <w:marRight w:val="0"/>
      <w:marTop w:val="0"/>
      <w:marBottom w:val="0"/>
      <w:divBdr>
        <w:top w:val="none" w:sz="0" w:space="0" w:color="auto"/>
        <w:left w:val="none" w:sz="0" w:space="0" w:color="auto"/>
        <w:bottom w:val="none" w:sz="0" w:space="0" w:color="auto"/>
        <w:right w:val="none" w:sz="0" w:space="0" w:color="auto"/>
      </w:divBdr>
    </w:div>
    <w:div w:id="472212690">
      <w:bodyDiv w:val="1"/>
      <w:marLeft w:val="0"/>
      <w:marRight w:val="0"/>
      <w:marTop w:val="0"/>
      <w:marBottom w:val="0"/>
      <w:divBdr>
        <w:top w:val="none" w:sz="0" w:space="0" w:color="auto"/>
        <w:left w:val="none" w:sz="0" w:space="0" w:color="auto"/>
        <w:bottom w:val="none" w:sz="0" w:space="0" w:color="auto"/>
        <w:right w:val="none" w:sz="0" w:space="0" w:color="auto"/>
      </w:divBdr>
    </w:div>
    <w:div w:id="763114190">
      <w:bodyDiv w:val="1"/>
      <w:marLeft w:val="0"/>
      <w:marRight w:val="0"/>
      <w:marTop w:val="0"/>
      <w:marBottom w:val="0"/>
      <w:divBdr>
        <w:top w:val="none" w:sz="0" w:space="0" w:color="auto"/>
        <w:left w:val="none" w:sz="0" w:space="0" w:color="auto"/>
        <w:bottom w:val="none" w:sz="0" w:space="0" w:color="auto"/>
        <w:right w:val="none" w:sz="0" w:space="0" w:color="auto"/>
      </w:divBdr>
    </w:div>
    <w:div w:id="807168350">
      <w:bodyDiv w:val="1"/>
      <w:marLeft w:val="0"/>
      <w:marRight w:val="0"/>
      <w:marTop w:val="0"/>
      <w:marBottom w:val="0"/>
      <w:divBdr>
        <w:top w:val="none" w:sz="0" w:space="0" w:color="auto"/>
        <w:left w:val="none" w:sz="0" w:space="0" w:color="auto"/>
        <w:bottom w:val="none" w:sz="0" w:space="0" w:color="auto"/>
        <w:right w:val="none" w:sz="0" w:space="0" w:color="auto"/>
      </w:divBdr>
    </w:div>
    <w:div w:id="1098911158">
      <w:bodyDiv w:val="1"/>
      <w:marLeft w:val="0"/>
      <w:marRight w:val="0"/>
      <w:marTop w:val="0"/>
      <w:marBottom w:val="0"/>
      <w:divBdr>
        <w:top w:val="none" w:sz="0" w:space="0" w:color="auto"/>
        <w:left w:val="none" w:sz="0" w:space="0" w:color="auto"/>
        <w:bottom w:val="none" w:sz="0" w:space="0" w:color="auto"/>
        <w:right w:val="none" w:sz="0" w:space="0" w:color="auto"/>
      </w:divBdr>
    </w:div>
    <w:div w:id="1272739349">
      <w:bodyDiv w:val="1"/>
      <w:marLeft w:val="0"/>
      <w:marRight w:val="0"/>
      <w:marTop w:val="0"/>
      <w:marBottom w:val="0"/>
      <w:divBdr>
        <w:top w:val="none" w:sz="0" w:space="0" w:color="auto"/>
        <w:left w:val="none" w:sz="0" w:space="0" w:color="auto"/>
        <w:bottom w:val="none" w:sz="0" w:space="0" w:color="auto"/>
        <w:right w:val="none" w:sz="0" w:space="0" w:color="auto"/>
      </w:divBdr>
    </w:div>
    <w:div w:id="1381124118">
      <w:bodyDiv w:val="1"/>
      <w:marLeft w:val="0"/>
      <w:marRight w:val="0"/>
      <w:marTop w:val="0"/>
      <w:marBottom w:val="0"/>
      <w:divBdr>
        <w:top w:val="none" w:sz="0" w:space="0" w:color="auto"/>
        <w:left w:val="none" w:sz="0" w:space="0" w:color="auto"/>
        <w:bottom w:val="none" w:sz="0" w:space="0" w:color="auto"/>
        <w:right w:val="none" w:sz="0" w:space="0" w:color="auto"/>
      </w:divBdr>
    </w:div>
    <w:div w:id="1421632933">
      <w:bodyDiv w:val="1"/>
      <w:marLeft w:val="0"/>
      <w:marRight w:val="0"/>
      <w:marTop w:val="0"/>
      <w:marBottom w:val="0"/>
      <w:divBdr>
        <w:top w:val="none" w:sz="0" w:space="0" w:color="auto"/>
        <w:left w:val="none" w:sz="0" w:space="0" w:color="auto"/>
        <w:bottom w:val="none" w:sz="0" w:space="0" w:color="auto"/>
        <w:right w:val="none" w:sz="0" w:space="0" w:color="auto"/>
      </w:divBdr>
    </w:div>
    <w:div w:id="1462454974">
      <w:bodyDiv w:val="1"/>
      <w:marLeft w:val="0"/>
      <w:marRight w:val="0"/>
      <w:marTop w:val="0"/>
      <w:marBottom w:val="0"/>
      <w:divBdr>
        <w:top w:val="none" w:sz="0" w:space="0" w:color="auto"/>
        <w:left w:val="none" w:sz="0" w:space="0" w:color="auto"/>
        <w:bottom w:val="none" w:sz="0" w:space="0" w:color="auto"/>
        <w:right w:val="none" w:sz="0" w:space="0" w:color="auto"/>
      </w:divBdr>
    </w:div>
    <w:div w:id="1553804124">
      <w:bodyDiv w:val="1"/>
      <w:marLeft w:val="0"/>
      <w:marRight w:val="0"/>
      <w:marTop w:val="0"/>
      <w:marBottom w:val="0"/>
      <w:divBdr>
        <w:top w:val="none" w:sz="0" w:space="0" w:color="auto"/>
        <w:left w:val="none" w:sz="0" w:space="0" w:color="auto"/>
        <w:bottom w:val="none" w:sz="0" w:space="0" w:color="auto"/>
        <w:right w:val="none" w:sz="0" w:space="0" w:color="auto"/>
      </w:divBdr>
    </w:div>
    <w:div w:id="169976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50691b-0efa-493e-80f3-0c9071ae0da7" xsi:nil="true"/>
    <lcf76f155ced4ddcb4097134ff3c332f xmlns="9cfc50e5-aec9-43f1-951d-3c39bc8b925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218DFC076083478373E386AC775BE6" ma:contentTypeVersion="16" ma:contentTypeDescription="Create a new document." ma:contentTypeScope="" ma:versionID="ee0822f7ab9f9eca7dbacb2e65526b85">
  <xsd:schema xmlns:xsd="http://www.w3.org/2001/XMLSchema" xmlns:xs="http://www.w3.org/2001/XMLSchema" xmlns:p="http://schemas.microsoft.com/office/2006/metadata/properties" xmlns:ns2="9cfc50e5-aec9-43f1-951d-3c39bc8b9257" xmlns:ns3="5850691b-0efa-493e-80f3-0c9071ae0da7" targetNamespace="http://schemas.microsoft.com/office/2006/metadata/properties" ma:root="true" ma:fieldsID="f500ee39b564d5d9ecf8484abe219f5c" ns2:_="" ns3:_="">
    <xsd:import namespace="9cfc50e5-aec9-43f1-951d-3c39bc8b9257"/>
    <xsd:import namespace="5850691b-0efa-493e-80f3-0c9071ae0d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c50e5-aec9-43f1-951d-3c39bc8b9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fb8ed9-e6ff-4cbe-b2c6-bea558e2e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50691b-0efa-493e-80f3-0c9071ae0da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eaa8376-279d-4ab0-b37e-a89d22ed190a}" ma:internalName="TaxCatchAll" ma:showField="CatchAllData" ma:web="5850691b-0efa-493e-80f3-0c9071ae0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F1B15-5E31-4B95-8700-A320C6587CD0}">
  <ds:schemaRefs>
    <ds:schemaRef ds:uri="http://schemas.microsoft.com/sharepoint/v3/contenttype/forms"/>
  </ds:schemaRefs>
</ds:datastoreItem>
</file>

<file path=customXml/itemProps2.xml><?xml version="1.0" encoding="utf-8"?>
<ds:datastoreItem xmlns:ds="http://schemas.openxmlformats.org/officeDocument/2006/customXml" ds:itemID="{83A11867-02F2-4800-BA68-0774C23FC836}">
  <ds:schemaRefs>
    <ds:schemaRef ds:uri="http://schemas.microsoft.com/office/2006/metadata/properties"/>
    <ds:schemaRef ds:uri="http://schemas.microsoft.com/office/infopath/2007/PartnerControls"/>
    <ds:schemaRef ds:uri="5850691b-0efa-493e-80f3-0c9071ae0da7"/>
    <ds:schemaRef ds:uri="9cfc50e5-aec9-43f1-951d-3c39bc8b9257"/>
  </ds:schemaRefs>
</ds:datastoreItem>
</file>

<file path=customXml/itemProps3.xml><?xml version="1.0" encoding="utf-8"?>
<ds:datastoreItem xmlns:ds="http://schemas.openxmlformats.org/officeDocument/2006/customXml" ds:itemID="{9700D75D-07C7-4F20-BBA1-5622C04D2C42}">
  <ds:schemaRefs>
    <ds:schemaRef ds:uri="http://schemas.openxmlformats.org/officeDocument/2006/bibliography"/>
  </ds:schemaRefs>
</ds:datastoreItem>
</file>

<file path=customXml/itemProps4.xml><?xml version="1.0" encoding="utf-8"?>
<ds:datastoreItem xmlns:ds="http://schemas.openxmlformats.org/officeDocument/2006/customXml" ds:itemID="{E065791A-8ACC-4FF0-A5A9-6CE048AFF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c50e5-aec9-43f1-951d-3c39bc8b9257"/>
    <ds:schemaRef ds:uri="5850691b-0efa-493e-80f3-0c9071ae0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4850</Words>
  <Characters>26676</Characters>
  <Application>Microsoft Office Word</Application>
  <DocSecurity>0</DocSecurity>
  <Lines>222</Lines>
  <Paragraphs>62</Paragraphs>
  <ScaleCrop>false</ScaleCrop>
  <Company/>
  <LinksUpToDate>false</LinksUpToDate>
  <CharactersWithSpaces>31464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Cubillos Benavides</dc:creator>
  <cp:keywords/>
  <dc:description/>
  <cp:lastModifiedBy>IVAN ARTURO MARQUEZ RINCON</cp:lastModifiedBy>
  <cp:revision>51</cp:revision>
  <dcterms:created xsi:type="dcterms:W3CDTF">2025-09-22T21:52:00Z</dcterms:created>
  <dcterms:modified xsi:type="dcterms:W3CDTF">2025-11-20T20:00:00Z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0x010100E0218DFC076083478373E386AC775BE6</vt:lpwstr>
  </property>
  <property fmtid="{D5CDD505-2E9C-101B-9397-08002B2CF9AE}" pid="3" name="MediaServiceImageTags">
    <vt:lpwstr/>
  </property>
</Properties>
</file>