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03" w:rsidRPr="00EF689E" w:rsidRDefault="00AF0703" w:rsidP="00AF0703">
      <w:pPr>
        <w:rPr>
          <w:rFonts w:asciiTheme="majorHAnsi" w:eastAsiaTheme="majorEastAsia" w:hAnsiTheme="majorHAnsi" w:cstheme="majorBidi"/>
          <w:b/>
          <w:bCs/>
          <w:color w:val="365F91" w:themeColor="accent1" w:themeShade="BF"/>
          <w:sz w:val="28"/>
          <w:szCs w:val="28"/>
        </w:rPr>
      </w:pPr>
      <w:bookmarkStart w:id="0" w:name="_GoBack"/>
      <w:bookmarkEnd w:id="0"/>
      <w:r w:rsidRPr="00EF689E">
        <w:rPr>
          <w:rFonts w:asciiTheme="majorHAnsi" w:eastAsiaTheme="majorEastAsia" w:hAnsiTheme="majorHAnsi" w:cstheme="majorBidi"/>
          <w:b/>
          <w:bCs/>
          <w:color w:val="365F91" w:themeColor="accent1" w:themeShade="BF"/>
          <w:sz w:val="28"/>
          <w:szCs w:val="28"/>
        </w:rPr>
        <w:t>Acciones llevadas a cabo por parte de la Oficina de Control Interno en el tema de riesgos</w:t>
      </w:r>
    </w:p>
    <w:p w:rsidR="001E7E43" w:rsidRDefault="001E7E43" w:rsidP="00EF689E">
      <w:pPr>
        <w:jc w:val="both"/>
      </w:pPr>
      <w:r w:rsidRPr="001E7E43">
        <w:t xml:space="preserve">En el mes de </w:t>
      </w:r>
      <w:r>
        <w:t xml:space="preserve">febrero se realizó el </w:t>
      </w:r>
      <w:r w:rsidRPr="001E7E43">
        <w:t xml:space="preserve">diagnóstico </w:t>
      </w:r>
      <w:r>
        <w:t xml:space="preserve">de la </w:t>
      </w:r>
      <w:r w:rsidRPr="001E7E43">
        <w:t xml:space="preserve">gestión de </w:t>
      </w:r>
      <w:r>
        <w:t>los</w:t>
      </w:r>
      <w:r w:rsidRPr="001E7E43">
        <w:t xml:space="preserve"> riesgos</w:t>
      </w:r>
      <w:r>
        <w:t xml:space="preserve"> en el Departamento, donde se efectuó una revisión de todos y cada uno de los riesgos de gestión identificados y  documentados en los diferentes Mapas por Proceso, teniendo en cuenta dos (2) elementos de análisis para esta labor: Claridad en la redacción para los riesgos y reducción en la valoración de los mismos, además en este mismo capítulo se h</w:t>
      </w:r>
      <w:r w:rsidR="00EF689E">
        <w:t>izo</w:t>
      </w:r>
      <w:r>
        <w:t xml:space="preserve"> una </w:t>
      </w:r>
      <w:r w:rsidR="00EF689E">
        <w:t xml:space="preserve">breve </w:t>
      </w:r>
      <w:r>
        <w:t>exposición del Mapa Institucional.</w:t>
      </w:r>
      <w:r w:rsidR="00EF689E">
        <w:t xml:space="preserve"> </w:t>
      </w:r>
      <w:r w:rsidR="00710EB1">
        <w:t>Así mismo</w:t>
      </w:r>
      <w:r>
        <w:t xml:space="preserve"> se realizó un estudio puntual a diez (10) riesgos, de los cuales ocho (8) son de gestión y dos (2) de corrupción, analizando al detalle cada uno de los pasos para la Administración del Riesgo,  establecidos en la Guía  No. 18 elaborada por el DAFP en el año 2011, pasando además por </w:t>
      </w:r>
      <w:r w:rsidRPr="001E7E43">
        <w:t xml:space="preserve">un estudio </w:t>
      </w:r>
      <w:r>
        <w:t xml:space="preserve">breve </w:t>
      </w:r>
      <w:r w:rsidRPr="001E7E43">
        <w:t>de la Política de Riesgos contenida en el Manual del Sistema de Gestión de Calidad del Departamento</w:t>
      </w:r>
      <w:r>
        <w:t xml:space="preserve"> en su versión </w:t>
      </w:r>
      <w:r w:rsidR="00710EB1">
        <w:t xml:space="preserve">No 15. </w:t>
      </w:r>
      <w:r>
        <w:t xml:space="preserve">En este mismo diagnostico se </w:t>
      </w:r>
      <w:r w:rsidRPr="001E7E43">
        <w:t>h</w:t>
      </w:r>
      <w:r>
        <w:t>izo</w:t>
      </w:r>
      <w:r w:rsidRPr="001E7E43">
        <w:t xml:space="preserve"> un breve acercamiento al Mapa de Riesgos identificado por  la ARL Positiva S.A. (41 riesgos)</w:t>
      </w:r>
      <w:r w:rsidR="00710EB1">
        <w:t>.</w:t>
      </w:r>
    </w:p>
    <w:p w:rsidR="00710EB1" w:rsidRDefault="00710EB1" w:rsidP="00EF689E">
      <w:pPr>
        <w:jc w:val="both"/>
      </w:pPr>
      <w:r>
        <w:t xml:space="preserve">Aprovechando la Auditoria combinada al Proceso de Gestión Humana, se hizo un análisis exhaustivo a todos los riesgos del proceso, revisando los siguientes elementos: </w:t>
      </w:r>
      <w:r w:rsidR="00EF689E">
        <w:t>*</w:t>
      </w:r>
      <w:r>
        <w:t xml:space="preserve">la clasificación, </w:t>
      </w:r>
      <w:r w:rsidR="00EF689E">
        <w:t>*</w:t>
      </w:r>
      <w:r>
        <w:t xml:space="preserve">el  seguimiento concreto a la efectividad de los controles y las acciones así como </w:t>
      </w:r>
      <w:r w:rsidR="00EF689E">
        <w:t>*</w:t>
      </w:r>
      <w:r>
        <w:t>el cumplimiento de los riesgos con la política;  para con base en lo encontrado establecer algunas recomendaciones, por otro lado el 26 de mayo se realizó la presentación de los riesgos identificados en todos los procesos por el equipo de trabajo a la Dirección General, donde se estableció el compromiso por parte del equipo de revisar los riesgos bajo los lineamientos brindados en la reunión a fin de presentarlo nuevamente con las modificaciones correspondientes.</w:t>
      </w:r>
    </w:p>
    <w:p w:rsidR="00710EB1" w:rsidRDefault="00B728FD" w:rsidP="00EF689E">
      <w:pPr>
        <w:jc w:val="both"/>
      </w:pPr>
      <w:r>
        <w:t>C</w:t>
      </w:r>
      <w:r w:rsidRPr="00710EB1">
        <w:t>on corte a Julio 30</w:t>
      </w:r>
      <w:r>
        <w:t>, s</w:t>
      </w:r>
      <w:r w:rsidR="00710EB1" w:rsidRPr="00710EB1">
        <w:t>e hizo la revisión de los riesgos de Gestión de todos los procesos, para establecer aquellos procesos donde el seguimiento a las diferentes acciones poseía retrasos, información enviada a la OAP mediante el seguimiento realizado al Plan Anti corrupción.</w:t>
      </w:r>
    </w:p>
    <w:p w:rsidR="00710EB1" w:rsidRDefault="00710EB1" w:rsidP="00EF689E">
      <w:pPr>
        <w:jc w:val="both"/>
      </w:pPr>
      <w:r>
        <w:t xml:space="preserve">Se realizó la revisión por parte de la OCI de todos los riesgos consolidados que surgieron del trabajo del equipo multidisciplinario teniendo en cuenta las recomendaciones y sugerencias de las Alta Dirección, luego de este trabajo se </w:t>
      </w:r>
      <w:r w:rsidR="00EF689E">
        <w:t>realizó</w:t>
      </w:r>
      <w:r>
        <w:t xml:space="preserve"> una reunión con la OAP para la revisión de los comentarios que surgieron de esta revisión a fin de que la Oficina Asesora de Planeación presentase a la Alta Dirección este trabajo</w:t>
      </w:r>
      <w:r w:rsidR="00EF689E">
        <w:t>.</w:t>
      </w:r>
    </w:p>
    <w:p w:rsidR="00B728FD" w:rsidRDefault="00B728FD" w:rsidP="00EF689E">
      <w:pPr>
        <w:jc w:val="both"/>
      </w:pPr>
      <w:r>
        <w:t xml:space="preserve">Mediante reuniones con la OAP, se identificaron los riesgos, </w:t>
      </w:r>
      <w:r w:rsidRPr="00B728FD">
        <w:t>la valoración, los controles, posterior evaluación (riesgo re</w:t>
      </w:r>
      <w:r>
        <w:t>sidual) y propuesta de acciones para los riesgos del proceso de Medición y Análisis.</w:t>
      </w:r>
    </w:p>
    <w:p w:rsidR="00EF689E" w:rsidRDefault="00EF689E" w:rsidP="00EF689E">
      <w:pPr>
        <w:jc w:val="both"/>
      </w:pPr>
      <w:r w:rsidRPr="00EF689E">
        <w:t>Con base en los seguimientos a la Política de Riesgos, se remitió mediante correo electrónic</w:t>
      </w:r>
      <w:r>
        <w:t xml:space="preserve">o, una comunicación a la OAP </w:t>
      </w:r>
      <w:r w:rsidRPr="00EF689E">
        <w:t>con copia a los servidores de la OCI con fecha del 24/septiembre, donde se mencionaban algunos  hechos relacionados con la inexistencia de elementos claves en la política  de riesgos publicada en el Manual de Calidad en el aplicativo Calidad_DAFP</w:t>
      </w:r>
      <w:r>
        <w:t xml:space="preserve"> versión No 17.</w:t>
      </w:r>
      <w:r w:rsidR="00B728FD">
        <w:t xml:space="preserve"> Además s</w:t>
      </w:r>
      <w:r w:rsidRPr="00EF689E">
        <w:t xml:space="preserve">e realizó un informe donde se revisó a detalle la política consignada en la última versión del </w:t>
      </w:r>
      <w:r w:rsidRPr="00EF689E">
        <w:lastRenderedPageBreak/>
        <w:t xml:space="preserve">Manual de Calidad: versión No. 18, comparándola con lo establecido tanto en la Guía Actual como </w:t>
      </w:r>
      <w:r w:rsidR="00B728FD">
        <w:t xml:space="preserve">en </w:t>
      </w:r>
      <w:r w:rsidRPr="00EF689E">
        <w:t>la Guía de Administración del Riesgo</w:t>
      </w:r>
      <w:r>
        <w:t xml:space="preserve"> que se encuentra en</w:t>
      </w:r>
      <w:r w:rsidRPr="00EF689E">
        <w:t xml:space="preserve"> estudio, concluyendo que la política de riesgos publicada no poseía la estructura identificada en ninguna de las Versiones de la Guía para la Administración del Riesgo. Con base en esta revisión y el correo electrónico anteriormente</w:t>
      </w:r>
      <w:r>
        <w:t xml:space="preserve"> mencionado</w:t>
      </w:r>
      <w:r w:rsidRPr="00EF689E">
        <w:t xml:space="preserve"> la OAP presento al Comité de Desarrollo Organizacional una propuesta de Política, donde se atendieron estas observaciones.</w:t>
      </w:r>
    </w:p>
    <w:p w:rsidR="00710EB1" w:rsidRPr="001E7E43" w:rsidRDefault="00B728FD" w:rsidP="009A74A3">
      <w:pPr>
        <w:jc w:val="both"/>
      </w:pPr>
      <w:r>
        <w:t xml:space="preserve">Por otro lado la Oficina realizó la revisión de la Guía </w:t>
      </w:r>
      <w:r w:rsidR="009A74A3">
        <w:t>de la administración del riesgo que se encuentra en</w:t>
      </w:r>
      <w:r>
        <w:t xml:space="preserve"> estudio, donde </w:t>
      </w:r>
      <w:r w:rsidRPr="00B728FD">
        <w:t>se expusieron algunas observaciones y recomendaciones a la misma, las cuales fueron remitidas a Myriam Cubillos, profesional de la DCI el 27/10/2014 mediante correo electrónico.</w:t>
      </w:r>
    </w:p>
    <w:p w:rsidR="002252AC" w:rsidRPr="00AF0703" w:rsidRDefault="009A74A3" w:rsidP="00D964B9">
      <w:pPr>
        <w:jc w:val="both"/>
        <w:rPr>
          <w:color w:val="FF0000"/>
        </w:rPr>
      </w:pPr>
      <w:r>
        <w:t>Se revisó la información llevada en el Comité de Desarrollo Administrativo, a</w:t>
      </w:r>
      <w:r w:rsidR="002252AC">
        <w:t xml:space="preserve"> 29 de octubre de 2014, </w:t>
      </w:r>
      <w:r>
        <w:t>donde</w:t>
      </w:r>
      <w:r w:rsidR="00D964B9">
        <w:t xml:space="preserve"> se evidencio que </w:t>
      </w:r>
      <w:r w:rsidR="002252AC">
        <w:t>la Oficina Asesora de Planeación en trabajo conjunto con las diferentes áreas identifico los riesgos de los siguientes procesos:</w:t>
      </w:r>
      <w:r w:rsidR="00AF0703">
        <w:t xml:space="preserve"> </w:t>
      </w:r>
    </w:p>
    <w:p w:rsidR="009A74A3" w:rsidRDefault="009A74A3" w:rsidP="00D964B9">
      <w:pPr>
        <w:jc w:val="center"/>
        <w:sectPr w:rsidR="009A74A3">
          <w:pgSz w:w="12240" w:h="15840"/>
          <w:pgMar w:top="1417" w:right="1701" w:bottom="1417" w:left="1701" w:header="708" w:footer="708" w:gutter="0"/>
          <w:cols w:space="708"/>
          <w:docGrid w:linePitch="360"/>
        </w:sectPr>
      </w:pPr>
    </w:p>
    <w:p w:rsidR="002252AC" w:rsidRDefault="002252AC" w:rsidP="00D964B9">
      <w:pPr>
        <w:jc w:val="center"/>
      </w:pPr>
      <w:r>
        <w:lastRenderedPageBreak/>
        <w:t xml:space="preserve">1. </w:t>
      </w:r>
      <w:r w:rsidR="00D964B9">
        <w:t>Gestión</w:t>
      </w:r>
      <w:r>
        <w:t xml:space="preserve"> Documental </w:t>
      </w:r>
      <w:r w:rsidR="00D964B9">
        <w:t xml:space="preserve"> (2 riesgos)</w:t>
      </w:r>
    </w:p>
    <w:p w:rsidR="002252AC" w:rsidRDefault="002252AC" w:rsidP="00D964B9">
      <w:pPr>
        <w:jc w:val="center"/>
      </w:pPr>
      <w:r>
        <w:t xml:space="preserve">2. </w:t>
      </w:r>
      <w:r w:rsidR="00D964B9">
        <w:t>Gestión</w:t>
      </w:r>
      <w:r>
        <w:t xml:space="preserve"> </w:t>
      </w:r>
      <w:r w:rsidR="00D964B9">
        <w:t>Meritocrática</w:t>
      </w:r>
      <w:r>
        <w:t xml:space="preserve"> </w:t>
      </w:r>
      <w:r w:rsidR="00D964B9">
        <w:t>(2 riesgos)</w:t>
      </w:r>
    </w:p>
    <w:p w:rsidR="002252AC" w:rsidRDefault="002252AC" w:rsidP="00D964B9">
      <w:pPr>
        <w:jc w:val="center"/>
      </w:pPr>
      <w:r>
        <w:t xml:space="preserve">3. Instrumentalización </w:t>
      </w:r>
      <w:r w:rsidR="00D964B9">
        <w:t xml:space="preserve"> (2 riesgos)</w:t>
      </w:r>
    </w:p>
    <w:p w:rsidR="002252AC" w:rsidRDefault="002252AC" w:rsidP="00D964B9">
      <w:pPr>
        <w:jc w:val="center"/>
      </w:pPr>
      <w:r>
        <w:t xml:space="preserve">4. Banco de </w:t>
      </w:r>
      <w:r w:rsidR="00D964B9">
        <w:t>Éxitos</w:t>
      </w:r>
      <w:r>
        <w:t xml:space="preserve"> </w:t>
      </w:r>
      <w:r w:rsidR="00D964B9">
        <w:t xml:space="preserve"> (1 riesgo)</w:t>
      </w:r>
    </w:p>
    <w:p w:rsidR="002252AC" w:rsidRDefault="002252AC" w:rsidP="00D964B9">
      <w:pPr>
        <w:jc w:val="center"/>
      </w:pPr>
      <w:r>
        <w:t xml:space="preserve">5. </w:t>
      </w:r>
      <w:r w:rsidR="00D964B9">
        <w:t>Asesoría</w:t>
      </w:r>
      <w:r>
        <w:t xml:space="preserve"> Técnica </w:t>
      </w:r>
      <w:r w:rsidR="00D964B9">
        <w:t>(3 riesgos)</w:t>
      </w:r>
    </w:p>
    <w:p w:rsidR="002252AC" w:rsidRDefault="002252AC" w:rsidP="00D964B9">
      <w:pPr>
        <w:jc w:val="center"/>
      </w:pPr>
      <w:r>
        <w:t xml:space="preserve">6. </w:t>
      </w:r>
      <w:r w:rsidR="00D964B9">
        <w:t>Asesoría</w:t>
      </w:r>
      <w:r>
        <w:t xml:space="preserve"> </w:t>
      </w:r>
      <w:r w:rsidR="00D964B9">
        <w:t>Jurídica</w:t>
      </w:r>
      <w:r>
        <w:t xml:space="preserve"> </w:t>
      </w:r>
      <w:r w:rsidR="00D964B9">
        <w:t>(2 riesgos)</w:t>
      </w:r>
    </w:p>
    <w:p w:rsidR="002252AC" w:rsidRDefault="002252AC" w:rsidP="00D964B9">
      <w:pPr>
        <w:jc w:val="center"/>
      </w:pPr>
      <w:r>
        <w:lastRenderedPageBreak/>
        <w:t xml:space="preserve">7. Defensa Judicial </w:t>
      </w:r>
      <w:r w:rsidR="00D964B9">
        <w:t>(2 riesgos)</w:t>
      </w:r>
    </w:p>
    <w:p w:rsidR="00D964B9" w:rsidRDefault="002252AC" w:rsidP="00D964B9">
      <w:pPr>
        <w:jc w:val="center"/>
      </w:pPr>
      <w:r>
        <w:t xml:space="preserve">8. </w:t>
      </w:r>
      <w:r w:rsidR="00D964B9">
        <w:t>Medición</w:t>
      </w:r>
      <w:r>
        <w:t xml:space="preserve"> y Análisis </w:t>
      </w:r>
      <w:r w:rsidR="00D964B9">
        <w:t>(4 riesgos)</w:t>
      </w:r>
    </w:p>
    <w:p w:rsidR="00D964B9" w:rsidRDefault="002252AC" w:rsidP="00D964B9">
      <w:pPr>
        <w:jc w:val="center"/>
      </w:pPr>
      <w:r>
        <w:t xml:space="preserve">9. Difusión </w:t>
      </w:r>
      <w:r w:rsidR="00D964B9">
        <w:t>(1 riesgo)</w:t>
      </w:r>
    </w:p>
    <w:p w:rsidR="002252AC" w:rsidRDefault="002252AC" w:rsidP="00D964B9">
      <w:pPr>
        <w:jc w:val="center"/>
      </w:pPr>
      <w:r>
        <w:t>10</w:t>
      </w:r>
      <w:r w:rsidR="00D964B9">
        <w:t>. Gestión</w:t>
      </w:r>
      <w:r>
        <w:t xml:space="preserve"> Financiera </w:t>
      </w:r>
      <w:r w:rsidR="00D964B9">
        <w:t xml:space="preserve"> (3 riesgos)</w:t>
      </w:r>
    </w:p>
    <w:p w:rsidR="002252AC" w:rsidRDefault="002252AC" w:rsidP="00D964B9">
      <w:pPr>
        <w:jc w:val="center"/>
      </w:pPr>
      <w:r>
        <w:t xml:space="preserve">11. Comunicaciones </w:t>
      </w:r>
      <w:r w:rsidR="00D964B9">
        <w:t>(2 riesgos)</w:t>
      </w:r>
    </w:p>
    <w:p w:rsidR="002252AC" w:rsidRDefault="002252AC" w:rsidP="00D964B9">
      <w:pPr>
        <w:jc w:val="center"/>
      </w:pPr>
      <w:r>
        <w:t xml:space="preserve">12. Orientación </w:t>
      </w:r>
      <w:r w:rsidR="00D964B9">
        <w:t>(2 riesgos)</w:t>
      </w:r>
    </w:p>
    <w:p w:rsidR="002252AC" w:rsidRDefault="002252AC" w:rsidP="00D964B9">
      <w:pPr>
        <w:jc w:val="center"/>
      </w:pPr>
      <w:r>
        <w:t xml:space="preserve">13. </w:t>
      </w:r>
      <w:r w:rsidR="00D964B9">
        <w:t>Tecnologías</w:t>
      </w:r>
      <w:r>
        <w:t xml:space="preserve"> de la información </w:t>
      </w:r>
      <w:r w:rsidR="00D964B9">
        <w:t>(4 riesgos)</w:t>
      </w:r>
    </w:p>
    <w:p w:rsidR="002252AC" w:rsidRDefault="002252AC" w:rsidP="00D964B9">
      <w:pPr>
        <w:jc w:val="center"/>
      </w:pPr>
      <w:r>
        <w:lastRenderedPageBreak/>
        <w:t xml:space="preserve">14 Gestión Humana </w:t>
      </w:r>
      <w:r w:rsidR="00D964B9">
        <w:t>(3 riesgos)</w:t>
      </w:r>
    </w:p>
    <w:p w:rsidR="002252AC" w:rsidRDefault="002252AC" w:rsidP="00D964B9">
      <w:pPr>
        <w:jc w:val="center"/>
      </w:pPr>
      <w:r>
        <w:t xml:space="preserve">15.  Gestión Contractual </w:t>
      </w:r>
      <w:r w:rsidR="00D964B9">
        <w:t>(4 riesgos)</w:t>
      </w:r>
    </w:p>
    <w:p w:rsidR="002252AC" w:rsidRDefault="002252AC" w:rsidP="00D964B9">
      <w:pPr>
        <w:jc w:val="center"/>
      </w:pPr>
      <w:r>
        <w:t>1</w:t>
      </w:r>
      <w:r w:rsidR="00D964B9">
        <w:t>6</w:t>
      </w:r>
      <w:r>
        <w:t xml:space="preserve">.  Formulación </w:t>
      </w:r>
      <w:r w:rsidR="00D964B9">
        <w:t>(1 riesgo)</w:t>
      </w:r>
    </w:p>
    <w:p w:rsidR="002252AC" w:rsidRDefault="002252AC" w:rsidP="00D964B9">
      <w:pPr>
        <w:jc w:val="center"/>
      </w:pPr>
      <w:r>
        <w:t>1</w:t>
      </w:r>
      <w:r w:rsidR="00D964B9">
        <w:t>7</w:t>
      </w:r>
      <w:r>
        <w:t xml:space="preserve">. Gestión Administrativa </w:t>
      </w:r>
      <w:r w:rsidR="00D964B9">
        <w:t>(4 riesgos)</w:t>
      </w:r>
    </w:p>
    <w:p w:rsidR="002252AC" w:rsidRDefault="00D964B9" w:rsidP="00D964B9">
      <w:pPr>
        <w:jc w:val="center"/>
      </w:pPr>
      <w:r>
        <w:t xml:space="preserve">18. </w:t>
      </w:r>
      <w:r w:rsidR="002252AC">
        <w:t xml:space="preserve">Direccionamiento Estratégico </w:t>
      </w:r>
      <w:r>
        <w:t>(2 riesgos)</w:t>
      </w:r>
    </w:p>
    <w:p w:rsidR="009A74A3" w:rsidRDefault="009A74A3">
      <w:pPr>
        <w:sectPr w:rsidR="009A74A3" w:rsidSect="009A74A3">
          <w:type w:val="continuous"/>
          <w:pgSz w:w="12240" w:h="15840"/>
          <w:pgMar w:top="1417" w:right="1701" w:bottom="1417" w:left="1701" w:header="708" w:footer="708" w:gutter="0"/>
          <w:cols w:num="3" w:space="708"/>
          <w:docGrid w:linePitch="360"/>
        </w:sectPr>
      </w:pPr>
    </w:p>
    <w:p w:rsidR="00743406" w:rsidRDefault="00743406" w:rsidP="00585E85">
      <w:pPr>
        <w:jc w:val="both"/>
      </w:pPr>
      <w:r>
        <w:lastRenderedPageBreak/>
        <w:t xml:space="preserve">Dando como resultado </w:t>
      </w:r>
      <w:r w:rsidRPr="00743406">
        <w:t>44 riesgos identificados en 13 procesos y 3 subprocesos</w:t>
      </w:r>
      <w:r>
        <w:t>, De los cuales: 5 Riesgos están ubicados en zona Extrema, 22 Riesgos en zona Alta, 12 Riesgos en zona Moderada y 5 Riesgos en zona baja. Estos riesgos se evaluarán a partir de noviembre de 2014</w:t>
      </w:r>
    </w:p>
    <w:p w:rsidR="00585E85" w:rsidRDefault="00585E85" w:rsidP="00585E85">
      <w:pPr>
        <w:jc w:val="both"/>
      </w:pPr>
      <w:r>
        <w:t>Todas las evidencias de las diferentes reuniones con cada uno de los procesos se encuentran en la Oficina Asesora de Planeación, reuniones que se basaron en el trabajo realizado previamente por el equipo multidisciplinario convocado para la identificación de los riesgos por proceso.</w:t>
      </w:r>
    </w:p>
    <w:p w:rsidR="00C169BC" w:rsidRDefault="00C169BC" w:rsidP="00AF0703">
      <w:pPr>
        <w:jc w:val="both"/>
      </w:pPr>
    </w:p>
    <w:p w:rsidR="00C169BC" w:rsidRDefault="00C169BC" w:rsidP="00AF0703">
      <w:pPr>
        <w:jc w:val="both"/>
      </w:pPr>
    </w:p>
    <w:p w:rsidR="00FE0284" w:rsidRDefault="00743406" w:rsidP="00AF0703">
      <w:pPr>
        <w:jc w:val="both"/>
      </w:pPr>
      <w:r w:rsidRPr="00743406">
        <w:lastRenderedPageBreak/>
        <w:t>A 05 de noviembre aun con los riesgos pasados, la revisión por proceso del cumplimiento de la periodicidad de los seguimientos dio como resultado lo siguiente:</w:t>
      </w:r>
    </w:p>
    <w:tbl>
      <w:tblPr>
        <w:tblStyle w:val="Tablaconcuadrcula"/>
        <w:tblW w:w="0" w:type="auto"/>
        <w:tblLook w:val="04A0" w:firstRow="1" w:lastRow="0" w:firstColumn="1" w:lastColumn="0" w:noHBand="0" w:noVBand="1"/>
      </w:tblPr>
      <w:tblGrid>
        <w:gridCol w:w="2793"/>
        <w:gridCol w:w="3024"/>
        <w:gridCol w:w="3237"/>
      </w:tblGrid>
      <w:tr w:rsidR="00C934D6" w:rsidTr="00C934D6">
        <w:tc>
          <w:tcPr>
            <w:tcW w:w="2793" w:type="dxa"/>
          </w:tcPr>
          <w:p w:rsidR="00C934D6" w:rsidRDefault="00C934D6" w:rsidP="00AF0703">
            <w:pPr>
              <w:jc w:val="both"/>
            </w:pPr>
            <w:r>
              <w:t xml:space="preserve">Proceso </w:t>
            </w:r>
          </w:p>
        </w:tc>
        <w:tc>
          <w:tcPr>
            <w:tcW w:w="3024" w:type="dxa"/>
          </w:tcPr>
          <w:p w:rsidR="00C934D6" w:rsidRDefault="00C934D6" w:rsidP="00AF0703">
            <w:pPr>
              <w:jc w:val="both"/>
            </w:pPr>
            <w:r>
              <w:t>Riesgo</w:t>
            </w:r>
          </w:p>
        </w:tc>
        <w:tc>
          <w:tcPr>
            <w:tcW w:w="3237" w:type="dxa"/>
          </w:tcPr>
          <w:p w:rsidR="00C934D6" w:rsidRDefault="00C934D6" w:rsidP="00AF0703">
            <w:pPr>
              <w:jc w:val="both"/>
            </w:pPr>
            <w:r>
              <w:t>Seguimiento</w:t>
            </w:r>
          </w:p>
        </w:tc>
      </w:tr>
      <w:tr w:rsidR="00C934D6" w:rsidTr="00C934D6">
        <w:tc>
          <w:tcPr>
            <w:tcW w:w="2793" w:type="dxa"/>
            <w:vMerge w:val="restart"/>
            <w:vAlign w:val="center"/>
          </w:tcPr>
          <w:p w:rsidR="00C934D6" w:rsidRDefault="00C934D6" w:rsidP="00C934D6">
            <w:pPr>
              <w:jc w:val="center"/>
            </w:pPr>
            <w:r>
              <w:t>Direccionamiento Estratégico</w:t>
            </w:r>
          </w:p>
        </w:tc>
        <w:tc>
          <w:tcPr>
            <w:tcW w:w="3024" w:type="dxa"/>
          </w:tcPr>
          <w:p w:rsidR="00C934D6" w:rsidRDefault="00C934D6" w:rsidP="00AF0703">
            <w:pPr>
              <w:jc w:val="both"/>
            </w:pPr>
            <w:r w:rsidRPr="00C934D6">
              <w:t>Incumplimiento de las metas de gobierno e institucionales.</w:t>
            </w:r>
          </w:p>
        </w:tc>
        <w:tc>
          <w:tcPr>
            <w:tcW w:w="3237" w:type="dxa"/>
            <w:vMerge w:val="restart"/>
            <w:vAlign w:val="center"/>
          </w:tcPr>
          <w:p w:rsidR="00C934D6" w:rsidRDefault="00C934D6" w:rsidP="00C934D6">
            <w:pPr>
              <w:jc w:val="center"/>
            </w:pPr>
            <w:r>
              <w:t>Hasta el mes de agosto</w:t>
            </w:r>
          </w:p>
        </w:tc>
      </w:tr>
      <w:tr w:rsidR="00C934D6" w:rsidTr="00C934D6">
        <w:tc>
          <w:tcPr>
            <w:tcW w:w="2793" w:type="dxa"/>
            <w:vMerge/>
          </w:tcPr>
          <w:p w:rsidR="00C934D6" w:rsidRDefault="00C934D6" w:rsidP="00AF0703">
            <w:pPr>
              <w:jc w:val="both"/>
            </w:pPr>
          </w:p>
        </w:tc>
        <w:tc>
          <w:tcPr>
            <w:tcW w:w="3024" w:type="dxa"/>
          </w:tcPr>
          <w:p w:rsidR="00C934D6" w:rsidRPr="00C934D6" w:rsidRDefault="00C934D6" w:rsidP="00AF0703">
            <w:pPr>
              <w:jc w:val="both"/>
            </w:pPr>
            <w:r w:rsidRPr="00C934D6">
              <w:t>Inoportunidad en la ejecución de los planes y proyectos institucionales</w:t>
            </w:r>
          </w:p>
        </w:tc>
        <w:tc>
          <w:tcPr>
            <w:tcW w:w="3237" w:type="dxa"/>
            <w:vMerge/>
          </w:tcPr>
          <w:p w:rsidR="00C934D6" w:rsidRDefault="00C934D6" w:rsidP="00AF0703">
            <w:pPr>
              <w:jc w:val="both"/>
            </w:pPr>
          </w:p>
        </w:tc>
      </w:tr>
      <w:tr w:rsidR="00C934D6" w:rsidTr="00C934D6">
        <w:tc>
          <w:tcPr>
            <w:tcW w:w="2793" w:type="dxa"/>
            <w:vMerge/>
          </w:tcPr>
          <w:p w:rsidR="00C934D6" w:rsidRDefault="00C934D6" w:rsidP="00AF0703">
            <w:pPr>
              <w:jc w:val="both"/>
            </w:pPr>
          </w:p>
        </w:tc>
        <w:tc>
          <w:tcPr>
            <w:tcW w:w="3024" w:type="dxa"/>
          </w:tcPr>
          <w:p w:rsidR="00C934D6" w:rsidRPr="00C934D6" w:rsidRDefault="00C934D6" w:rsidP="00AF0703">
            <w:pPr>
              <w:jc w:val="both"/>
            </w:pPr>
            <w:r w:rsidRPr="00C934D6">
              <w:t>Entrega de productos o servicios Inadecuados</w:t>
            </w:r>
          </w:p>
        </w:tc>
        <w:tc>
          <w:tcPr>
            <w:tcW w:w="3237" w:type="dxa"/>
            <w:vMerge/>
          </w:tcPr>
          <w:p w:rsidR="00C934D6" w:rsidRDefault="00C934D6" w:rsidP="00AF0703">
            <w:pPr>
              <w:jc w:val="both"/>
            </w:pPr>
          </w:p>
        </w:tc>
      </w:tr>
      <w:tr w:rsidR="00C934D6" w:rsidTr="00C934D6">
        <w:tc>
          <w:tcPr>
            <w:tcW w:w="2793" w:type="dxa"/>
            <w:vMerge/>
          </w:tcPr>
          <w:p w:rsidR="00C934D6" w:rsidRDefault="00C934D6" w:rsidP="00AF0703">
            <w:pPr>
              <w:jc w:val="both"/>
            </w:pPr>
          </w:p>
        </w:tc>
        <w:tc>
          <w:tcPr>
            <w:tcW w:w="3024" w:type="dxa"/>
          </w:tcPr>
          <w:p w:rsidR="00C934D6" w:rsidRPr="00C934D6" w:rsidRDefault="00C934D6" w:rsidP="00AF0703">
            <w:pPr>
              <w:jc w:val="both"/>
            </w:pPr>
            <w:r w:rsidRPr="00C934D6">
              <w:t>Incumplimiento de las políticas de competencia del DAFP</w:t>
            </w:r>
          </w:p>
        </w:tc>
        <w:tc>
          <w:tcPr>
            <w:tcW w:w="3237" w:type="dxa"/>
            <w:vMerge/>
          </w:tcPr>
          <w:p w:rsidR="00C934D6" w:rsidRDefault="00C934D6" w:rsidP="00AF0703">
            <w:pPr>
              <w:jc w:val="both"/>
            </w:pPr>
          </w:p>
        </w:tc>
      </w:tr>
      <w:tr w:rsidR="00C934D6" w:rsidTr="00C934D6">
        <w:tc>
          <w:tcPr>
            <w:tcW w:w="2793" w:type="dxa"/>
            <w:vMerge/>
          </w:tcPr>
          <w:p w:rsidR="00C934D6" w:rsidRDefault="00C934D6" w:rsidP="00AF0703">
            <w:pPr>
              <w:jc w:val="both"/>
            </w:pPr>
          </w:p>
        </w:tc>
        <w:tc>
          <w:tcPr>
            <w:tcW w:w="3024" w:type="dxa"/>
          </w:tcPr>
          <w:p w:rsidR="00C934D6" w:rsidRPr="00C934D6" w:rsidRDefault="00C934D6" w:rsidP="00AF0703">
            <w:pPr>
              <w:jc w:val="both"/>
            </w:pPr>
            <w:r w:rsidRPr="00C934D6">
              <w:t>Deficiencia en los resultados conforme a lo planificado.</w:t>
            </w:r>
          </w:p>
        </w:tc>
        <w:tc>
          <w:tcPr>
            <w:tcW w:w="3237" w:type="dxa"/>
            <w:vMerge/>
          </w:tcPr>
          <w:p w:rsidR="00C934D6" w:rsidRDefault="00C934D6" w:rsidP="00AF0703">
            <w:pPr>
              <w:jc w:val="both"/>
            </w:pPr>
          </w:p>
        </w:tc>
      </w:tr>
      <w:tr w:rsidR="00C934D6" w:rsidTr="00C934D6">
        <w:tc>
          <w:tcPr>
            <w:tcW w:w="2793" w:type="dxa"/>
            <w:vMerge/>
          </w:tcPr>
          <w:p w:rsidR="00C934D6" w:rsidRDefault="00C934D6" w:rsidP="00AF0703">
            <w:pPr>
              <w:jc w:val="both"/>
            </w:pPr>
          </w:p>
        </w:tc>
        <w:tc>
          <w:tcPr>
            <w:tcW w:w="3024" w:type="dxa"/>
          </w:tcPr>
          <w:p w:rsidR="00C934D6" w:rsidRPr="00C934D6" w:rsidRDefault="00C934D6" w:rsidP="00AF0703">
            <w:pPr>
              <w:jc w:val="both"/>
            </w:pPr>
            <w:r w:rsidRPr="00C934D6">
              <w:t>No dar a conocer a tiempo información clave para el buen desarrollo de la entidad</w:t>
            </w:r>
          </w:p>
        </w:tc>
        <w:tc>
          <w:tcPr>
            <w:tcW w:w="3237" w:type="dxa"/>
            <w:vMerge w:val="restart"/>
            <w:vAlign w:val="center"/>
          </w:tcPr>
          <w:p w:rsidR="00C934D6" w:rsidRDefault="00C934D6" w:rsidP="00C934D6">
            <w:pPr>
              <w:jc w:val="center"/>
            </w:pPr>
            <w:r>
              <w:t>Hasta el mes de julio</w:t>
            </w:r>
          </w:p>
        </w:tc>
      </w:tr>
      <w:tr w:rsidR="00C934D6" w:rsidTr="00C934D6">
        <w:tc>
          <w:tcPr>
            <w:tcW w:w="2793" w:type="dxa"/>
            <w:vMerge/>
          </w:tcPr>
          <w:p w:rsidR="00C934D6" w:rsidRDefault="00C934D6" w:rsidP="00AF0703">
            <w:pPr>
              <w:jc w:val="both"/>
            </w:pPr>
          </w:p>
        </w:tc>
        <w:tc>
          <w:tcPr>
            <w:tcW w:w="3024" w:type="dxa"/>
          </w:tcPr>
          <w:p w:rsidR="00C934D6" w:rsidRPr="00C934D6" w:rsidRDefault="00C934D6" w:rsidP="00AF0703">
            <w:pPr>
              <w:jc w:val="both"/>
            </w:pPr>
            <w:r w:rsidRPr="00C934D6">
              <w:t>Incumplimiento del Plan de Comunicaciones del DAFP</w:t>
            </w:r>
          </w:p>
        </w:tc>
        <w:tc>
          <w:tcPr>
            <w:tcW w:w="3237" w:type="dxa"/>
            <w:vMerge/>
          </w:tcPr>
          <w:p w:rsidR="00C934D6" w:rsidRDefault="00C934D6" w:rsidP="00AF0703">
            <w:pPr>
              <w:jc w:val="both"/>
            </w:pPr>
          </w:p>
        </w:tc>
      </w:tr>
      <w:tr w:rsidR="00C934D6" w:rsidTr="00C934D6">
        <w:tc>
          <w:tcPr>
            <w:tcW w:w="2793" w:type="dxa"/>
            <w:vMerge/>
          </w:tcPr>
          <w:p w:rsidR="00C934D6" w:rsidRDefault="00C934D6" w:rsidP="00AF0703">
            <w:pPr>
              <w:jc w:val="both"/>
            </w:pPr>
          </w:p>
        </w:tc>
        <w:tc>
          <w:tcPr>
            <w:tcW w:w="3024" w:type="dxa"/>
          </w:tcPr>
          <w:p w:rsidR="00C934D6" w:rsidRPr="00C934D6" w:rsidRDefault="00C934D6" w:rsidP="00AF0703">
            <w:pPr>
              <w:jc w:val="both"/>
            </w:pPr>
            <w:r w:rsidRPr="00C934D6">
              <w:t>Uso indebido de la información</w:t>
            </w:r>
          </w:p>
        </w:tc>
        <w:tc>
          <w:tcPr>
            <w:tcW w:w="3237" w:type="dxa"/>
            <w:vMerge/>
          </w:tcPr>
          <w:p w:rsidR="00C934D6" w:rsidRDefault="00C934D6" w:rsidP="00AF0703">
            <w:pPr>
              <w:jc w:val="both"/>
            </w:pPr>
          </w:p>
        </w:tc>
      </w:tr>
    </w:tbl>
    <w:p w:rsidR="00FE0284" w:rsidRPr="00743406" w:rsidRDefault="00FE0284" w:rsidP="00AF0703">
      <w:pPr>
        <w:jc w:val="both"/>
      </w:pPr>
    </w:p>
    <w:tbl>
      <w:tblPr>
        <w:tblStyle w:val="Tablaconcuadrcula"/>
        <w:tblW w:w="0" w:type="auto"/>
        <w:tblLook w:val="04A0" w:firstRow="1" w:lastRow="0" w:firstColumn="1" w:lastColumn="0" w:noHBand="0" w:noVBand="1"/>
      </w:tblPr>
      <w:tblGrid>
        <w:gridCol w:w="2992"/>
        <w:gridCol w:w="2993"/>
        <w:gridCol w:w="2993"/>
      </w:tblGrid>
      <w:tr w:rsidR="00C934D6" w:rsidTr="00C934D6">
        <w:tc>
          <w:tcPr>
            <w:tcW w:w="2992" w:type="dxa"/>
          </w:tcPr>
          <w:p w:rsidR="00C934D6" w:rsidRDefault="00C934D6" w:rsidP="008D27DF">
            <w:pPr>
              <w:jc w:val="both"/>
            </w:pPr>
            <w:r>
              <w:t xml:space="preserve">Proceso </w:t>
            </w:r>
          </w:p>
        </w:tc>
        <w:tc>
          <w:tcPr>
            <w:tcW w:w="2993" w:type="dxa"/>
          </w:tcPr>
          <w:p w:rsidR="00C934D6" w:rsidRDefault="00C934D6" w:rsidP="008D27DF">
            <w:pPr>
              <w:jc w:val="both"/>
            </w:pPr>
            <w:r>
              <w:t>Riesgo</w:t>
            </w:r>
          </w:p>
        </w:tc>
        <w:tc>
          <w:tcPr>
            <w:tcW w:w="2993" w:type="dxa"/>
          </w:tcPr>
          <w:p w:rsidR="00C934D6" w:rsidRDefault="00C934D6" w:rsidP="008D27DF">
            <w:pPr>
              <w:jc w:val="both"/>
            </w:pPr>
            <w:r>
              <w:t>Seguimiento</w:t>
            </w:r>
          </w:p>
        </w:tc>
      </w:tr>
      <w:tr w:rsidR="00C934D6" w:rsidTr="00C934D6">
        <w:tc>
          <w:tcPr>
            <w:tcW w:w="2992" w:type="dxa"/>
            <w:vMerge w:val="restart"/>
            <w:vAlign w:val="center"/>
          </w:tcPr>
          <w:p w:rsidR="00C934D6" w:rsidRDefault="00C934D6" w:rsidP="00C934D6">
            <w:pPr>
              <w:jc w:val="center"/>
            </w:pPr>
            <w:r>
              <w:t>Formulación</w:t>
            </w:r>
          </w:p>
        </w:tc>
        <w:tc>
          <w:tcPr>
            <w:tcW w:w="2993" w:type="dxa"/>
            <w:vAlign w:val="center"/>
          </w:tcPr>
          <w:p w:rsidR="00C934D6" w:rsidRPr="00A0010E" w:rsidRDefault="00C934D6" w:rsidP="00A0010E">
            <w:r w:rsidRPr="00A0010E">
              <w:t>Políticas inadecuadas</w:t>
            </w:r>
          </w:p>
        </w:tc>
        <w:tc>
          <w:tcPr>
            <w:tcW w:w="2993" w:type="dxa"/>
            <w:vMerge w:val="restart"/>
            <w:vAlign w:val="center"/>
          </w:tcPr>
          <w:p w:rsidR="00C934D6" w:rsidRDefault="00C934D6" w:rsidP="00C934D6">
            <w:pPr>
              <w:jc w:val="center"/>
            </w:pPr>
            <w:r>
              <w:t>Hasta el mes de marzo</w:t>
            </w:r>
          </w:p>
        </w:tc>
      </w:tr>
      <w:tr w:rsidR="00C934D6" w:rsidTr="00E30E7E">
        <w:tc>
          <w:tcPr>
            <w:tcW w:w="2992" w:type="dxa"/>
            <w:vMerge/>
          </w:tcPr>
          <w:p w:rsidR="00C934D6" w:rsidRDefault="00C934D6" w:rsidP="008D27DF">
            <w:pPr>
              <w:jc w:val="both"/>
            </w:pPr>
          </w:p>
        </w:tc>
        <w:tc>
          <w:tcPr>
            <w:tcW w:w="2993" w:type="dxa"/>
            <w:vAlign w:val="center"/>
          </w:tcPr>
          <w:p w:rsidR="00C934D6" w:rsidRPr="00A0010E" w:rsidRDefault="00C934D6" w:rsidP="00A0010E">
            <w:r w:rsidRPr="00A0010E">
              <w:t>Inaplicabilidad de las políticas</w:t>
            </w:r>
          </w:p>
        </w:tc>
        <w:tc>
          <w:tcPr>
            <w:tcW w:w="2993" w:type="dxa"/>
            <w:vMerge/>
          </w:tcPr>
          <w:p w:rsidR="00C934D6" w:rsidRDefault="00C934D6" w:rsidP="008D27DF">
            <w:pPr>
              <w:jc w:val="both"/>
            </w:pPr>
          </w:p>
        </w:tc>
      </w:tr>
      <w:tr w:rsidR="00C934D6" w:rsidTr="00E30E7E">
        <w:tc>
          <w:tcPr>
            <w:tcW w:w="2992" w:type="dxa"/>
            <w:vMerge/>
          </w:tcPr>
          <w:p w:rsidR="00C934D6" w:rsidRDefault="00C934D6" w:rsidP="008D27DF">
            <w:pPr>
              <w:jc w:val="both"/>
            </w:pPr>
          </w:p>
        </w:tc>
        <w:tc>
          <w:tcPr>
            <w:tcW w:w="2993" w:type="dxa"/>
            <w:vAlign w:val="center"/>
          </w:tcPr>
          <w:p w:rsidR="00C934D6" w:rsidRPr="00A0010E" w:rsidRDefault="00C934D6" w:rsidP="00A0010E">
            <w:r w:rsidRPr="00A0010E">
              <w:t>Extralimitación de Funciones en beneficio propio o de un tercero</w:t>
            </w:r>
          </w:p>
        </w:tc>
        <w:tc>
          <w:tcPr>
            <w:tcW w:w="2993" w:type="dxa"/>
            <w:vMerge/>
          </w:tcPr>
          <w:p w:rsidR="00C934D6" w:rsidRDefault="00C934D6" w:rsidP="008D27DF">
            <w:pPr>
              <w:jc w:val="both"/>
            </w:pPr>
          </w:p>
        </w:tc>
      </w:tr>
      <w:tr w:rsidR="00C934D6" w:rsidTr="00E30E7E">
        <w:tc>
          <w:tcPr>
            <w:tcW w:w="2992" w:type="dxa"/>
            <w:vMerge/>
          </w:tcPr>
          <w:p w:rsidR="00C934D6" w:rsidRDefault="00C934D6" w:rsidP="008D27DF">
            <w:pPr>
              <w:jc w:val="both"/>
            </w:pPr>
          </w:p>
        </w:tc>
        <w:tc>
          <w:tcPr>
            <w:tcW w:w="2993" w:type="dxa"/>
            <w:vAlign w:val="center"/>
          </w:tcPr>
          <w:p w:rsidR="00C934D6" w:rsidRPr="00A0010E" w:rsidRDefault="00C934D6" w:rsidP="00A0010E">
            <w:r w:rsidRPr="00A0010E">
              <w:t>Uso Indebido de Información</w:t>
            </w:r>
          </w:p>
        </w:tc>
        <w:tc>
          <w:tcPr>
            <w:tcW w:w="2993" w:type="dxa"/>
            <w:vMerge/>
          </w:tcPr>
          <w:p w:rsidR="00C934D6" w:rsidRDefault="00C934D6" w:rsidP="008D27DF">
            <w:pPr>
              <w:jc w:val="both"/>
            </w:pPr>
          </w:p>
        </w:tc>
      </w:tr>
    </w:tbl>
    <w:p w:rsidR="00743406" w:rsidRDefault="00743406" w:rsidP="00AF0703">
      <w:pPr>
        <w:jc w:val="both"/>
        <w:rPr>
          <w:color w:val="FF0000"/>
        </w:rPr>
      </w:pPr>
    </w:p>
    <w:tbl>
      <w:tblPr>
        <w:tblStyle w:val="Tablaconcuadrcula"/>
        <w:tblW w:w="0" w:type="auto"/>
        <w:tblLook w:val="04A0" w:firstRow="1" w:lastRow="0" w:firstColumn="1" w:lastColumn="0" w:noHBand="0" w:noVBand="1"/>
      </w:tblPr>
      <w:tblGrid>
        <w:gridCol w:w="2992"/>
        <w:gridCol w:w="2993"/>
        <w:gridCol w:w="2993"/>
      </w:tblGrid>
      <w:tr w:rsidR="00A0010E" w:rsidTr="008D27DF">
        <w:tc>
          <w:tcPr>
            <w:tcW w:w="2992" w:type="dxa"/>
          </w:tcPr>
          <w:p w:rsidR="00A0010E" w:rsidRDefault="00A0010E" w:rsidP="008D27DF">
            <w:pPr>
              <w:jc w:val="both"/>
            </w:pPr>
            <w:r>
              <w:t xml:space="preserve">Proceso </w:t>
            </w:r>
          </w:p>
        </w:tc>
        <w:tc>
          <w:tcPr>
            <w:tcW w:w="2993" w:type="dxa"/>
          </w:tcPr>
          <w:p w:rsidR="00A0010E" w:rsidRDefault="00A0010E" w:rsidP="008D27DF">
            <w:pPr>
              <w:jc w:val="both"/>
            </w:pPr>
            <w:r>
              <w:t>Riesgo</w:t>
            </w:r>
          </w:p>
        </w:tc>
        <w:tc>
          <w:tcPr>
            <w:tcW w:w="2993" w:type="dxa"/>
          </w:tcPr>
          <w:p w:rsidR="00A0010E" w:rsidRDefault="00A0010E" w:rsidP="008D27DF">
            <w:pPr>
              <w:jc w:val="both"/>
            </w:pPr>
            <w:r>
              <w:t>Seguimiento</w:t>
            </w:r>
          </w:p>
        </w:tc>
      </w:tr>
      <w:tr w:rsidR="00A0010E" w:rsidTr="008D27DF">
        <w:tc>
          <w:tcPr>
            <w:tcW w:w="2992" w:type="dxa"/>
            <w:vMerge w:val="restart"/>
            <w:vAlign w:val="center"/>
          </w:tcPr>
          <w:p w:rsidR="00A0010E" w:rsidRDefault="00A0010E" w:rsidP="00A0010E">
            <w:pPr>
              <w:jc w:val="center"/>
            </w:pPr>
            <w:r>
              <w:t>Instrumentalización</w:t>
            </w:r>
          </w:p>
        </w:tc>
        <w:tc>
          <w:tcPr>
            <w:tcW w:w="2993" w:type="dxa"/>
            <w:vAlign w:val="center"/>
          </w:tcPr>
          <w:p w:rsidR="00A0010E" w:rsidRPr="00A0010E" w:rsidRDefault="00A0010E" w:rsidP="008D27DF">
            <w:r w:rsidRPr="00A0010E">
              <w:t>Extralimitación de Funciones en beneficio propio o de un tercero</w:t>
            </w:r>
          </w:p>
        </w:tc>
        <w:tc>
          <w:tcPr>
            <w:tcW w:w="2993" w:type="dxa"/>
            <w:vMerge w:val="restart"/>
            <w:vAlign w:val="center"/>
          </w:tcPr>
          <w:p w:rsidR="00A0010E" w:rsidRDefault="00A0010E" w:rsidP="00A0010E">
            <w:pPr>
              <w:jc w:val="center"/>
            </w:pPr>
            <w:r>
              <w:t>Hasta el mes de Septiembre</w:t>
            </w:r>
          </w:p>
        </w:tc>
      </w:tr>
      <w:tr w:rsidR="00A0010E" w:rsidTr="008D27DF">
        <w:tc>
          <w:tcPr>
            <w:tcW w:w="2992" w:type="dxa"/>
            <w:vMerge/>
          </w:tcPr>
          <w:p w:rsidR="00A0010E" w:rsidRDefault="00A0010E" w:rsidP="008D27DF">
            <w:pPr>
              <w:jc w:val="both"/>
            </w:pPr>
          </w:p>
        </w:tc>
        <w:tc>
          <w:tcPr>
            <w:tcW w:w="2993" w:type="dxa"/>
            <w:vAlign w:val="center"/>
          </w:tcPr>
          <w:p w:rsidR="00A0010E" w:rsidRPr="00A0010E" w:rsidRDefault="00A0010E" w:rsidP="008D27DF">
            <w:r w:rsidRPr="00A0010E">
              <w:t>Uso Indebido de Información</w:t>
            </w:r>
          </w:p>
        </w:tc>
        <w:tc>
          <w:tcPr>
            <w:tcW w:w="2993" w:type="dxa"/>
            <w:vMerge/>
          </w:tcPr>
          <w:p w:rsidR="00A0010E" w:rsidRDefault="00A0010E" w:rsidP="008D27DF">
            <w:pPr>
              <w:jc w:val="both"/>
            </w:pPr>
          </w:p>
        </w:tc>
      </w:tr>
    </w:tbl>
    <w:p w:rsidR="00A0010E" w:rsidRDefault="00A0010E" w:rsidP="00AF0703">
      <w:pPr>
        <w:jc w:val="both"/>
        <w:rPr>
          <w:color w:val="FF0000"/>
        </w:rPr>
      </w:pPr>
    </w:p>
    <w:tbl>
      <w:tblPr>
        <w:tblStyle w:val="Tablaconcuadrcula"/>
        <w:tblW w:w="0" w:type="auto"/>
        <w:tblLook w:val="04A0" w:firstRow="1" w:lastRow="0" w:firstColumn="1" w:lastColumn="0" w:noHBand="0" w:noVBand="1"/>
      </w:tblPr>
      <w:tblGrid>
        <w:gridCol w:w="2992"/>
        <w:gridCol w:w="2993"/>
        <w:gridCol w:w="2993"/>
      </w:tblGrid>
      <w:tr w:rsidR="00A0010E" w:rsidTr="008D27DF">
        <w:tc>
          <w:tcPr>
            <w:tcW w:w="2992" w:type="dxa"/>
          </w:tcPr>
          <w:p w:rsidR="00A0010E" w:rsidRDefault="00A0010E" w:rsidP="008D27DF">
            <w:pPr>
              <w:jc w:val="both"/>
            </w:pPr>
            <w:r>
              <w:t xml:space="preserve">Proceso </w:t>
            </w:r>
          </w:p>
        </w:tc>
        <w:tc>
          <w:tcPr>
            <w:tcW w:w="2993" w:type="dxa"/>
          </w:tcPr>
          <w:p w:rsidR="00A0010E" w:rsidRDefault="00A0010E" w:rsidP="008D27DF">
            <w:pPr>
              <w:jc w:val="both"/>
            </w:pPr>
            <w:r>
              <w:t>Riesgo</w:t>
            </w:r>
          </w:p>
        </w:tc>
        <w:tc>
          <w:tcPr>
            <w:tcW w:w="2993" w:type="dxa"/>
          </w:tcPr>
          <w:p w:rsidR="00A0010E" w:rsidRDefault="00A0010E" w:rsidP="008D27DF">
            <w:pPr>
              <w:jc w:val="both"/>
            </w:pPr>
            <w:r>
              <w:t>Seguimiento</w:t>
            </w:r>
          </w:p>
        </w:tc>
      </w:tr>
      <w:tr w:rsidR="00A0010E" w:rsidTr="008D27DF">
        <w:tc>
          <w:tcPr>
            <w:tcW w:w="2992" w:type="dxa"/>
            <w:vMerge w:val="restart"/>
            <w:vAlign w:val="center"/>
          </w:tcPr>
          <w:p w:rsidR="00A0010E" w:rsidRDefault="00A0010E" w:rsidP="00A0010E">
            <w:pPr>
              <w:jc w:val="center"/>
            </w:pPr>
            <w:r>
              <w:t>Difusión</w:t>
            </w:r>
          </w:p>
        </w:tc>
        <w:tc>
          <w:tcPr>
            <w:tcW w:w="2993" w:type="dxa"/>
            <w:vAlign w:val="center"/>
          </w:tcPr>
          <w:p w:rsidR="00A0010E" w:rsidRPr="00A0010E" w:rsidRDefault="00A0010E" w:rsidP="008D27DF">
            <w:r w:rsidRPr="00A0010E">
              <w:t>Baja cobertura en difusión de las políticas públicas para el orden Nacional y Territorial.</w:t>
            </w:r>
          </w:p>
        </w:tc>
        <w:tc>
          <w:tcPr>
            <w:tcW w:w="2993" w:type="dxa"/>
            <w:vMerge w:val="restart"/>
            <w:vAlign w:val="center"/>
          </w:tcPr>
          <w:p w:rsidR="00A0010E" w:rsidRDefault="00A0010E" w:rsidP="00E6754E">
            <w:pPr>
              <w:jc w:val="center"/>
            </w:pPr>
            <w:r>
              <w:t xml:space="preserve">Hasta el mes de </w:t>
            </w:r>
            <w:r w:rsidR="00E6754E">
              <w:t>junio</w:t>
            </w:r>
          </w:p>
        </w:tc>
      </w:tr>
      <w:tr w:rsidR="00A0010E" w:rsidTr="008D27DF">
        <w:tc>
          <w:tcPr>
            <w:tcW w:w="2992" w:type="dxa"/>
            <w:vMerge/>
          </w:tcPr>
          <w:p w:rsidR="00A0010E" w:rsidRDefault="00A0010E" w:rsidP="008D27DF">
            <w:pPr>
              <w:jc w:val="both"/>
            </w:pPr>
          </w:p>
        </w:tc>
        <w:tc>
          <w:tcPr>
            <w:tcW w:w="2993" w:type="dxa"/>
            <w:vAlign w:val="center"/>
          </w:tcPr>
          <w:p w:rsidR="00A0010E" w:rsidRPr="00A0010E" w:rsidRDefault="00A0010E" w:rsidP="008D27DF">
            <w:r w:rsidRPr="00A0010E">
              <w:t>Falta de oportunidad en la difusión de las políticas públicas.</w:t>
            </w:r>
          </w:p>
        </w:tc>
        <w:tc>
          <w:tcPr>
            <w:tcW w:w="2993" w:type="dxa"/>
            <w:vMerge/>
          </w:tcPr>
          <w:p w:rsidR="00A0010E" w:rsidRDefault="00A0010E" w:rsidP="008D27DF">
            <w:pPr>
              <w:jc w:val="both"/>
            </w:pPr>
          </w:p>
        </w:tc>
      </w:tr>
    </w:tbl>
    <w:p w:rsidR="00A0010E" w:rsidRDefault="00A0010E" w:rsidP="00AF0703">
      <w:pPr>
        <w:jc w:val="both"/>
        <w:rPr>
          <w:color w:val="FF0000"/>
        </w:rPr>
      </w:pPr>
    </w:p>
    <w:p w:rsidR="00E6754E" w:rsidRDefault="00E6754E" w:rsidP="00AF0703">
      <w:pPr>
        <w:jc w:val="both"/>
        <w:rPr>
          <w:color w:val="FF0000"/>
        </w:rPr>
      </w:pPr>
    </w:p>
    <w:tbl>
      <w:tblPr>
        <w:tblStyle w:val="Tablaconcuadrcula"/>
        <w:tblW w:w="0" w:type="auto"/>
        <w:tblLook w:val="04A0" w:firstRow="1" w:lastRow="0" w:firstColumn="1" w:lastColumn="0" w:noHBand="0" w:noVBand="1"/>
      </w:tblPr>
      <w:tblGrid>
        <w:gridCol w:w="2992"/>
        <w:gridCol w:w="2993"/>
        <w:gridCol w:w="2993"/>
      </w:tblGrid>
      <w:tr w:rsidR="00E6754E" w:rsidTr="008D27DF">
        <w:tc>
          <w:tcPr>
            <w:tcW w:w="2992" w:type="dxa"/>
          </w:tcPr>
          <w:p w:rsidR="00E6754E" w:rsidRDefault="00E6754E" w:rsidP="008D27DF">
            <w:pPr>
              <w:jc w:val="both"/>
            </w:pPr>
            <w:r>
              <w:t xml:space="preserve">Proceso </w:t>
            </w:r>
          </w:p>
        </w:tc>
        <w:tc>
          <w:tcPr>
            <w:tcW w:w="2993" w:type="dxa"/>
          </w:tcPr>
          <w:p w:rsidR="00E6754E" w:rsidRDefault="00E6754E" w:rsidP="008D27DF">
            <w:pPr>
              <w:jc w:val="both"/>
            </w:pPr>
            <w:r>
              <w:t>Riesgo</w:t>
            </w:r>
          </w:p>
        </w:tc>
        <w:tc>
          <w:tcPr>
            <w:tcW w:w="2993" w:type="dxa"/>
          </w:tcPr>
          <w:p w:rsidR="00E6754E" w:rsidRDefault="00E6754E" w:rsidP="008D27DF">
            <w:pPr>
              <w:jc w:val="both"/>
            </w:pPr>
            <w:r>
              <w:t>Seguimiento</w:t>
            </w:r>
          </w:p>
        </w:tc>
      </w:tr>
      <w:tr w:rsidR="00E6754E" w:rsidTr="00E6754E">
        <w:tc>
          <w:tcPr>
            <w:tcW w:w="2992" w:type="dxa"/>
            <w:vMerge w:val="restart"/>
            <w:vAlign w:val="center"/>
          </w:tcPr>
          <w:p w:rsidR="00E6754E" w:rsidRDefault="00E6754E" w:rsidP="00E6754E">
            <w:pPr>
              <w:jc w:val="center"/>
            </w:pPr>
            <w:r>
              <w:t>Asesoría y orientación</w:t>
            </w:r>
          </w:p>
        </w:tc>
        <w:tc>
          <w:tcPr>
            <w:tcW w:w="2993" w:type="dxa"/>
            <w:vAlign w:val="center"/>
          </w:tcPr>
          <w:p w:rsidR="00E6754E" w:rsidRPr="00A0010E" w:rsidRDefault="00E6754E" w:rsidP="008D27DF">
            <w:r w:rsidRPr="00E6754E">
              <w:t>Inadecuada asesoría y/u orientación.</w:t>
            </w:r>
          </w:p>
        </w:tc>
        <w:tc>
          <w:tcPr>
            <w:tcW w:w="2993" w:type="dxa"/>
            <w:vMerge w:val="restart"/>
            <w:vAlign w:val="center"/>
          </w:tcPr>
          <w:p w:rsidR="00E6754E" w:rsidRDefault="00E6754E" w:rsidP="00E6754E">
            <w:pPr>
              <w:jc w:val="center"/>
            </w:pPr>
            <w:r>
              <w:t>Hasta el mes de mayo</w:t>
            </w:r>
          </w:p>
        </w:tc>
      </w:tr>
      <w:tr w:rsidR="00E6754E" w:rsidTr="008D27DF">
        <w:tc>
          <w:tcPr>
            <w:tcW w:w="2992" w:type="dxa"/>
            <w:vMerge/>
          </w:tcPr>
          <w:p w:rsidR="00E6754E" w:rsidRDefault="00E6754E" w:rsidP="008D27DF">
            <w:pPr>
              <w:jc w:val="both"/>
            </w:pPr>
          </w:p>
        </w:tc>
        <w:tc>
          <w:tcPr>
            <w:tcW w:w="2993" w:type="dxa"/>
            <w:vAlign w:val="center"/>
          </w:tcPr>
          <w:p w:rsidR="00E6754E" w:rsidRPr="00A0010E" w:rsidRDefault="00E6754E" w:rsidP="008D27DF">
            <w:r w:rsidRPr="00E6754E">
              <w:t>Incumplimiento de la asesoría y/u orientación.</w:t>
            </w:r>
          </w:p>
        </w:tc>
        <w:tc>
          <w:tcPr>
            <w:tcW w:w="2993" w:type="dxa"/>
            <w:vMerge/>
          </w:tcPr>
          <w:p w:rsidR="00E6754E" w:rsidRDefault="00E6754E" w:rsidP="008D27DF">
            <w:pPr>
              <w:jc w:val="both"/>
            </w:pPr>
          </w:p>
        </w:tc>
      </w:tr>
      <w:tr w:rsidR="00E6754E" w:rsidTr="008D27DF">
        <w:tc>
          <w:tcPr>
            <w:tcW w:w="2992" w:type="dxa"/>
            <w:vMerge/>
          </w:tcPr>
          <w:p w:rsidR="00E6754E" w:rsidRDefault="00E6754E" w:rsidP="008D27DF">
            <w:pPr>
              <w:jc w:val="both"/>
            </w:pPr>
          </w:p>
        </w:tc>
        <w:tc>
          <w:tcPr>
            <w:tcW w:w="2993" w:type="dxa"/>
            <w:vAlign w:val="center"/>
          </w:tcPr>
          <w:p w:rsidR="00E6754E" w:rsidRPr="00E6754E" w:rsidRDefault="00E6754E" w:rsidP="008D27DF">
            <w:r w:rsidRPr="00E6754E">
              <w:t>Inoportunidad en la asesoría y/u orientación.</w:t>
            </w:r>
          </w:p>
        </w:tc>
        <w:tc>
          <w:tcPr>
            <w:tcW w:w="2993" w:type="dxa"/>
            <w:vMerge/>
          </w:tcPr>
          <w:p w:rsidR="00E6754E" w:rsidRDefault="00E6754E" w:rsidP="008D27DF">
            <w:pPr>
              <w:jc w:val="both"/>
            </w:pPr>
          </w:p>
        </w:tc>
      </w:tr>
      <w:tr w:rsidR="00E6754E" w:rsidTr="008D27DF">
        <w:tc>
          <w:tcPr>
            <w:tcW w:w="2992" w:type="dxa"/>
            <w:vMerge/>
          </w:tcPr>
          <w:p w:rsidR="00E6754E" w:rsidRDefault="00E6754E" w:rsidP="008D27DF">
            <w:pPr>
              <w:jc w:val="both"/>
            </w:pPr>
          </w:p>
        </w:tc>
        <w:tc>
          <w:tcPr>
            <w:tcW w:w="2993" w:type="dxa"/>
            <w:vAlign w:val="center"/>
          </w:tcPr>
          <w:p w:rsidR="00E6754E" w:rsidRPr="00E6754E" w:rsidRDefault="00E6754E" w:rsidP="008D27DF">
            <w:r w:rsidRPr="00E6754E">
              <w:t>Uso indebido de la información</w:t>
            </w:r>
          </w:p>
        </w:tc>
        <w:tc>
          <w:tcPr>
            <w:tcW w:w="2993" w:type="dxa"/>
            <w:vMerge/>
          </w:tcPr>
          <w:p w:rsidR="00E6754E" w:rsidRDefault="00E6754E" w:rsidP="008D27DF">
            <w:pPr>
              <w:jc w:val="both"/>
            </w:pPr>
          </w:p>
        </w:tc>
      </w:tr>
      <w:tr w:rsidR="00E6754E" w:rsidTr="008D27DF">
        <w:tc>
          <w:tcPr>
            <w:tcW w:w="2992" w:type="dxa"/>
            <w:vMerge/>
          </w:tcPr>
          <w:p w:rsidR="00E6754E" w:rsidRDefault="00E6754E" w:rsidP="008D27DF">
            <w:pPr>
              <w:jc w:val="both"/>
            </w:pPr>
          </w:p>
        </w:tc>
        <w:tc>
          <w:tcPr>
            <w:tcW w:w="2993" w:type="dxa"/>
            <w:vAlign w:val="center"/>
          </w:tcPr>
          <w:p w:rsidR="00E6754E" w:rsidRPr="00E6754E" w:rsidRDefault="00E6754E" w:rsidP="008D27DF">
            <w:r w:rsidRPr="00E6754E">
              <w:t>Extralimitación de funciones en beneficio propio o de un tercero</w:t>
            </w:r>
          </w:p>
        </w:tc>
        <w:tc>
          <w:tcPr>
            <w:tcW w:w="2993" w:type="dxa"/>
            <w:vMerge/>
          </w:tcPr>
          <w:p w:rsidR="00E6754E" w:rsidRDefault="00E6754E" w:rsidP="008D27DF">
            <w:pPr>
              <w:jc w:val="both"/>
            </w:pPr>
          </w:p>
        </w:tc>
      </w:tr>
    </w:tbl>
    <w:p w:rsidR="00E6754E" w:rsidRDefault="00E6754E" w:rsidP="00AF0703">
      <w:pPr>
        <w:jc w:val="both"/>
        <w:rPr>
          <w:color w:val="FF0000"/>
        </w:rPr>
      </w:pPr>
    </w:p>
    <w:tbl>
      <w:tblPr>
        <w:tblStyle w:val="Tablaconcuadrcula"/>
        <w:tblW w:w="0" w:type="auto"/>
        <w:tblLook w:val="04A0" w:firstRow="1" w:lastRow="0" w:firstColumn="1" w:lastColumn="0" w:noHBand="0" w:noVBand="1"/>
      </w:tblPr>
      <w:tblGrid>
        <w:gridCol w:w="2992"/>
        <w:gridCol w:w="2993"/>
        <w:gridCol w:w="2993"/>
      </w:tblGrid>
      <w:tr w:rsidR="00E6754E" w:rsidTr="008D27DF">
        <w:tc>
          <w:tcPr>
            <w:tcW w:w="2992" w:type="dxa"/>
          </w:tcPr>
          <w:p w:rsidR="00E6754E" w:rsidRDefault="00E6754E" w:rsidP="008D27DF">
            <w:pPr>
              <w:jc w:val="both"/>
            </w:pPr>
            <w:r>
              <w:t xml:space="preserve">Proceso </w:t>
            </w:r>
          </w:p>
        </w:tc>
        <w:tc>
          <w:tcPr>
            <w:tcW w:w="2993" w:type="dxa"/>
          </w:tcPr>
          <w:p w:rsidR="00E6754E" w:rsidRDefault="00E6754E" w:rsidP="008D27DF">
            <w:pPr>
              <w:jc w:val="both"/>
            </w:pPr>
            <w:r>
              <w:t>Riesgo</w:t>
            </w:r>
          </w:p>
        </w:tc>
        <w:tc>
          <w:tcPr>
            <w:tcW w:w="2993" w:type="dxa"/>
          </w:tcPr>
          <w:p w:rsidR="00E6754E" w:rsidRDefault="00E6754E" w:rsidP="008D27DF">
            <w:pPr>
              <w:jc w:val="both"/>
            </w:pPr>
            <w:r>
              <w:t>Seguimiento</w:t>
            </w:r>
          </w:p>
        </w:tc>
      </w:tr>
      <w:tr w:rsidR="00C169BC" w:rsidTr="00C21506">
        <w:tc>
          <w:tcPr>
            <w:tcW w:w="2992" w:type="dxa"/>
            <w:vMerge w:val="restart"/>
            <w:vAlign w:val="center"/>
          </w:tcPr>
          <w:p w:rsidR="00C169BC" w:rsidRDefault="00C169BC" w:rsidP="008D27DF">
            <w:pPr>
              <w:jc w:val="center"/>
            </w:pPr>
            <w:r>
              <w:t>Gestión Financiera</w:t>
            </w:r>
          </w:p>
        </w:tc>
        <w:tc>
          <w:tcPr>
            <w:tcW w:w="2993" w:type="dxa"/>
          </w:tcPr>
          <w:p w:rsidR="00C169BC" w:rsidRDefault="00C169BC">
            <w:r w:rsidRPr="00DB5184">
              <w:t>Inadecuada programación y ejecución de los recursos presupuestales.</w:t>
            </w:r>
          </w:p>
        </w:tc>
        <w:tc>
          <w:tcPr>
            <w:tcW w:w="2993" w:type="dxa"/>
            <w:vMerge w:val="restart"/>
            <w:vAlign w:val="center"/>
          </w:tcPr>
          <w:p w:rsidR="00C169BC" w:rsidRDefault="00C169BC" w:rsidP="00C169BC">
            <w:pPr>
              <w:jc w:val="center"/>
            </w:pPr>
            <w:r>
              <w:t>Hasta el mes de septiembre</w:t>
            </w:r>
          </w:p>
        </w:tc>
      </w:tr>
      <w:tr w:rsidR="00C169BC" w:rsidTr="00C21506">
        <w:tc>
          <w:tcPr>
            <w:tcW w:w="2992" w:type="dxa"/>
            <w:vMerge/>
          </w:tcPr>
          <w:p w:rsidR="00C169BC" w:rsidRDefault="00C169BC" w:rsidP="008D27DF">
            <w:pPr>
              <w:jc w:val="both"/>
            </w:pPr>
          </w:p>
        </w:tc>
        <w:tc>
          <w:tcPr>
            <w:tcW w:w="2993" w:type="dxa"/>
          </w:tcPr>
          <w:p w:rsidR="00C169BC" w:rsidRDefault="00C169BC">
            <w:r w:rsidRPr="00C169BC">
              <w:t>Inadecuado uso  del Sistema Integrado de Información Financiera - SIIF Nación, y del sistema CHIP (Sistema Consolidador de Hacienda e Información  Financiera Pública).</w:t>
            </w:r>
          </w:p>
        </w:tc>
        <w:tc>
          <w:tcPr>
            <w:tcW w:w="2993" w:type="dxa"/>
            <w:vMerge/>
          </w:tcPr>
          <w:p w:rsidR="00C169BC" w:rsidRDefault="00C169BC" w:rsidP="008D27DF">
            <w:pPr>
              <w:jc w:val="both"/>
            </w:pPr>
          </w:p>
        </w:tc>
      </w:tr>
      <w:tr w:rsidR="00E6754E" w:rsidTr="008D27DF">
        <w:tc>
          <w:tcPr>
            <w:tcW w:w="2992" w:type="dxa"/>
            <w:vMerge/>
          </w:tcPr>
          <w:p w:rsidR="00E6754E" w:rsidRDefault="00E6754E" w:rsidP="008D27DF">
            <w:pPr>
              <w:jc w:val="both"/>
            </w:pPr>
          </w:p>
        </w:tc>
        <w:tc>
          <w:tcPr>
            <w:tcW w:w="2993" w:type="dxa"/>
            <w:vAlign w:val="center"/>
          </w:tcPr>
          <w:p w:rsidR="00E6754E" w:rsidRPr="00E6754E" w:rsidRDefault="00C169BC" w:rsidP="008D27DF">
            <w:r w:rsidRPr="00C169BC">
              <w:t>Inadecuada elaboración y presentación de los Estados Contables y demás informes.</w:t>
            </w:r>
          </w:p>
        </w:tc>
        <w:tc>
          <w:tcPr>
            <w:tcW w:w="2993" w:type="dxa"/>
            <w:vMerge/>
          </w:tcPr>
          <w:p w:rsidR="00E6754E" w:rsidRDefault="00E6754E" w:rsidP="008D27DF">
            <w:pPr>
              <w:jc w:val="both"/>
            </w:pPr>
          </w:p>
        </w:tc>
      </w:tr>
      <w:tr w:rsidR="00E6754E" w:rsidTr="008D27DF">
        <w:tc>
          <w:tcPr>
            <w:tcW w:w="2992" w:type="dxa"/>
            <w:vMerge/>
          </w:tcPr>
          <w:p w:rsidR="00E6754E" w:rsidRDefault="00E6754E" w:rsidP="008D27DF">
            <w:pPr>
              <w:jc w:val="both"/>
            </w:pPr>
          </w:p>
        </w:tc>
        <w:tc>
          <w:tcPr>
            <w:tcW w:w="2993" w:type="dxa"/>
            <w:vAlign w:val="center"/>
          </w:tcPr>
          <w:p w:rsidR="00E6754E" w:rsidRPr="00E6754E" w:rsidRDefault="00C169BC" w:rsidP="008D27DF">
            <w:r w:rsidRPr="00C169BC">
              <w:t xml:space="preserve">Uso indebido de la información  </w:t>
            </w:r>
          </w:p>
        </w:tc>
        <w:tc>
          <w:tcPr>
            <w:tcW w:w="2993" w:type="dxa"/>
            <w:vMerge/>
          </w:tcPr>
          <w:p w:rsidR="00E6754E" w:rsidRDefault="00E6754E" w:rsidP="008D27DF">
            <w:pPr>
              <w:jc w:val="both"/>
            </w:pPr>
          </w:p>
        </w:tc>
      </w:tr>
      <w:tr w:rsidR="00E6754E" w:rsidTr="008D27DF">
        <w:tc>
          <w:tcPr>
            <w:tcW w:w="2992" w:type="dxa"/>
            <w:vMerge/>
          </w:tcPr>
          <w:p w:rsidR="00E6754E" w:rsidRDefault="00E6754E" w:rsidP="008D27DF">
            <w:pPr>
              <w:jc w:val="both"/>
            </w:pPr>
          </w:p>
        </w:tc>
        <w:tc>
          <w:tcPr>
            <w:tcW w:w="2993" w:type="dxa"/>
            <w:vAlign w:val="center"/>
          </w:tcPr>
          <w:p w:rsidR="00E6754E" w:rsidRPr="00E6754E" w:rsidRDefault="00C169BC" w:rsidP="008D27DF">
            <w:r w:rsidRPr="00C169BC">
              <w:t>Pérdida de recursos de la Entidad</w:t>
            </w:r>
          </w:p>
        </w:tc>
        <w:tc>
          <w:tcPr>
            <w:tcW w:w="2993" w:type="dxa"/>
            <w:vMerge/>
          </w:tcPr>
          <w:p w:rsidR="00E6754E" w:rsidRDefault="00E6754E" w:rsidP="008D27DF">
            <w:pPr>
              <w:jc w:val="both"/>
            </w:pPr>
          </w:p>
        </w:tc>
      </w:tr>
    </w:tbl>
    <w:p w:rsidR="00E6754E" w:rsidRDefault="00E6754E" w:rsidP="00AF0703">
      <w:pPr>
        <w:jc w:val="both"/>
        <w:rPr>
          <w:color w:val="FF0000"/>
        </w:rPr>
      </w:pPr>
    </w:p>
    <w:tbl>
      <w:tblPr>
        <w:tblStyle w:val="Tablaconcuadrcula"/>
        <w:tblW w:w="0" w:type="auto"/>
        <w:tblLook w:val="04A0" w:firstRow="1" w:lastRow="0" w:firstColumn="1" w:lastColumn="0" w:noHBand="0" w:noVBand="1"/>
      </w:tblPr>
      <w:tblGrid>
        <w:gridCol w:w="2992"/>
        <w:gridCol w:w="2993"/>
        <w:gridCol w:w="2993"/>
      </w:tblGrid>
      <w:tr w:rsidR="00C169BC" w:rsidTr="008D27DF">
        <w:tc>
          <w:tcPr>
            <w:tcW w:w="2992" w:type="dxa"/>
          </w:tcPr>
          <w:p w:rsidR="00C169BC" w:rsidRDefault="00C169BC" w:rsidP="008D27DF">
            <w:pPr>
              <w:jc w:val="both"/>
            </w:pPr>
            <w:r>
              <w:t xml:space="preserve">Proceso </w:t>
            </w:r>
          </w:p>
        </w:tc>
        <w:tc>
          <w:tcPr>
            <w:tcW w:w="2993" w:type="dxa"/>
          </w:tcPr>
          <w:p w:rsidR="00C169BC" w:rsidRDefault="00C169BC" w:rsidP="008D27DF">
            <w:pPr>
              <w:jc w:val="both"/>
            </w:pPr>
            <w:r>
              <w:t>Riesgo</w:t>
            </w:r>
          </w:p>
        </w:tc>
        <w:tc>
          <w:tcPr>
            <w:tcW w:w="2993" w:type="dxa"/>
          </w:tcPr>
          <w:p w:rsidR="00C169BC" w:rsidRDefault="00C169BC" w:rsidP="008D27DF">
            <w:pPr>
              <w:jc w:val="both"/>
            </w:pPr>
            <w:r>
              <w:t>Seguimiento</w:t>
            </w:r>
          </w:p>
        </w:tc>
      </w:tr>
      <w:tr w:rsidR="00C169BC" w:rsidTr="008D27DF">
        <w:tc>
          <w:tcPr>
            <w:tcW w:w="2992" w:type="dxa"/>
            <w:vMerge w:val="restart"/>
            <w:vAlign w:val="center"/>
          </w:tcPr>
          <w:p w:rsidR="00C169BC" w:rsidRDefault="00C169BC" w:rsidP="00C169BC">
            <w:pPr>
              <w:jc w:val="center"/>
            </w:pPr>
            <w:r>
              <w:t>Gestión Documental</w:t>
            </w:r>
          </w:p>
        </w:tc>
        <w:tc>
          <w:tcPr>
            <w:tcW w:w="2993" w:type="dxa"/>
          </w:tcPr>
          <w:p w:rsidR="00C169BC" w:rsidRDefault="00C169BC" w:rsidP="008D27DF">
            <w:r w:rsidRPr="00C169BC">
              <w:t>Pérdida y deterioro de documentos del Archivo Central del Departamento.</w:t>
            </w:r>
          </w:p>
        </w:tc>
        <w:tc>
          <w:tcPr>
            <w:tcW w:w="2993" w:type="dxa"/>
            <w:vMerge w:val="restart"/>
            <w:vAlign w:val="center"/>
          </w:tcPr>
          <w:p w:rsidR="00C169BC" w:rsidRDefault="00C169BC" w:rsidP="008D27DF">
            <w:pPr>
              <w:jc w:val="center"/>
            </w:pPr>
            <w:r>
              <w:t>Hasta el mes de septiembre</w:t>
            </w:r>
          </w:p>
        </w:tc>
      </w:tr>
      <w:tr w:rsidR="00C169BC" w:rsidTr="008D27DF">
        <w:tc>
          <w:tcPr>
            <w:tcW w:w="2992" w:type="dxa"/>
            <w:vMerge/>
          </w:tcPr>
          <w:p w:rsidR="00C169BC" w:rsidRDefault="00C169BC" w:rsidP="008D27DF">
            <w:pPr>
              <w:jc w:val="both"/>
            </w:pPr>
          </w:p>
        </w:tc>
        <w:tc>
          <w:tcPr>
            <w:tcW w:w="2993" w:type="dxa"/>
          </w:tcPr>
          <w:p w:rsidR="00C169BC" w:rsidRDefault="00C169BC" w:rsidP="008D27DF">
            <w:r w:rsidRPr="00C169BC">
              <w:t>Atraso en la gestión de radicación de  comunicaciones recibidas y enviadas.</w:t>
            </w:r>
          </w:p>
        </w:tc>
        <w:tc>
          <w:tcPr>
            <w:tcW w:w="2993" w:type="dxa"/>
            <w:vMerge/>
          </w:tcPr>
          <w:p w:rsidR="00C169BC" w:rsidRDefault="00C169BC" w:rsidP="008D27DF">
            <w:pPr>
              <w:jc w:val="both"/>
            </w:pPr>
          </w:p>
        </w:tc>
      </w:tr>
      <w:tr w:rsidR="00C169BC" w:rsidTr="008D27DF">
        <w:tc>
          <w:tcPr>
            <w:tcW w:w="2992" w:type="dxa"/>
            <w:vMerge/>
          </w:tcPr>
          <w:p w:rsidR="00C169BC" w:rsidRDefault="00C169BC" w:rsidP="008D27DF">
            <w:pPr>
              <w:jc w:val="both"/>
            </w:pPr>
          </w:p>
        </w:tc>
        <w:tc>
          <w:tcPr>
            <w:tcW w:w="2993" w:type="dxa"/>
            <w:vAlign w:val="center"/>
          </w:tcPr>
          <w:p w:rsidR="00C169BC" w:rsidRPr="00E6754E" w:rsidRDefault="00C169BC" w:rsidP="008D27DF">
            <w:r w:rsidRPr="00C169BC">
              <w:t>La demora en el redireccionamiento de la correspondencia recibida en las áreas.</w:t>
            </w:r>
          </w:p>
        </w:tc>
        <w:tc>
          <w:tcPr>
            <w:tcW w:w="2993" w:type="dxa"/>
            <w:vMerge/>
          </w:tcPr>
          <w:p w:rsidR="00C169BC" w:rsidRDefault="00C169BC" w:rsidP="008D27DF">
            <w:pPr>
              <w:jc w:val="both"/>
            </w:pPr>
          </w:p>
        </w:tc>
      </w:tr>
      <w:tr w:rsidR="00C169BC" w:rsidTr="008D27DF">
        <w:tc>
          <w:tcPr>
            <w:tcW w:w="2992" w:type="dxa"/>
            <w:vMerge/>
          </w:tcPr>
          <w:p w:rsidR="00C169BC" w:rsidRDefault="00C169BC" w:rsidP="008D27DF">
            <w:pPr>
              <w:jc w:val="both"/>
            </w:pPr>
          </w:p>
        </w:tc>
        <w:tc>
          <w:tcPr>
            <w:tcW w:w="2993" w:type="dxa"/>
            <w:vAlign w:val="center"/>
          </w:tcPr>
          <w:p w:rsidR="00C169BC" w:rsidRPr="00E6754E" w:rsidRDefault="00C169BC" w:rsidP="008D27DF">
            <w:r w:rsidRPr="00C169BC">
              <w:t xml:space="preserve">Extralimitación de funciones </w:t>
            </w:r>
            <w:r w:rsidRPr="00C169BC">
              <w:lastRenderedPageBreak/>
              <w:t>en beneficio propio o de un tercero</w:t>
            </w:r>
          </w:p>
        </w:tc>
        <w:tc>
          <w:tcPr>
            <w:tcW w:w="2993" w:type="dxa"/>
            <w:vMerge/>
          </w:tcPr>
          <w:p w:rsidR="00C169BC" w:rsidRDefault="00C169BC" w:rsidP="008D27DF">
            <w:pPr>
              <w:jc w:val="both"/>
            </w:pPr>
          </w:p>
        </w:tc>
      </w:tr>
      <w:tr w:rsidR="00C169BC" w:rsidTr="008D27DF">
        <w:tc>
          <w:tcPr>
            <w:tcW w:w="2992" w:type="dxa"/>
            <w:vMerge/>
          </w:tcPr>
          <w:p w:rsidR="00C169BC" w:rsidRDefault="00C169BC" w:rsidP="008D27DF">
            <w:pPr>
              <w:jc w:val="both"/>
            </w:pPr>
          </w:p>
        </w:tc>
        <w:tc>
          <w:tcPr>
            <w:tcW w:w="2993" w:type="dxa"/>
            <w:vAlign w:val="center"/>
          </w:tcPr>
          <w:p w:rsidR="00C169BC" w:rsidRPr="00E6754E" w:rsidRDefault="00C169BC" w:rsidP="008D27DF">
            <w:r w:rsidRPr="00C169BC">
              <w:t>Uso indebido de información</w:t>
            </w:r>
          </w:p>
        </w:tc>
        <w:tc>
          <w:tcPr>
            <w:tcW w:w="2993" w:type="dxa"/>
            <w:vMerge/>
          </w:tcPr>
          <w:p w:rsidR="00C169BC" w:rsidRDefault="00C169BC" w:rsidP="008D27DF">
            <w:pPr>
              <w:jc w:val="both"/>
            </w:pPr>
          </w:p>
        </w:tc>
      </w:tr>
    </w:tbl>
    <w:p w:rsidR="00C169BC" w:rsidRDefault="00C169BC" w:rsidP="00AF0703">
      <w:pPr>
        <w:jc w:val="both"/>
        <w:rPr>
          <w:color w:val="FF0000"/>
        </w:rPr>
      </w:pPr>
    </w:p>
    <w:tbl>
      <w:tblPr>
        <w:tblStyle w:val="Tablaconcuadrcula"/>
        <w:tblW w:w="0" w:type="auto"/>
        <w:tblLook w:val="04A0" w:firstRow="1" w:lastRow="0" w:firstColumn="1" w:lastColumn="0" w:noHBand="0" w:noVBand="1"/>
      </w:tblPr>
      <w:tblGrid>
        <w:gridCol w:w="2992"/>
        <w:gridCol w:w="2993"/>
        <w:gridCol w:w="2993"/>
      </w:tblGrid>
      <w:tr w:rsidR="00C169BC" w:rsidTr="008D27DF">
        <w:tc>
          <w:tcPr>
            <w:tcW w:w="2992" w:type="dxa"/>
          </w:tcPr>
          <w:p w:rsidR="00C169BC" w:rsidRDefault="00C169BC" w:rsidP="008D27DF">
            <w:pPr>
              <w:jc w:val="both"/>
            </w:pPr>
            <w:r>
              <w:t xml:space="preserve">Proceso </w:t>
            </w:r>
          </w:p>
        </w:tc>
        <w:tc>
          <w:tcPr>
            <w:tcW w:w="2993" w:type="dxa"/>
          </w:tcPr>
          <w:p w:rsidR="00C169BC" w:rsidRDefault="00C169BC" w:rsidP="008D27DF">
            <w:pPr>
              <w:jc w:val="both"/>
            </w:pPr>
            <w:r>
              <w:t>Riesgo</w:t>
            </w:r>
          </w:p>
        </w:tc>
        <w:tc>
          <w:tcPr>
            <w:tcW w:w="2993" w:type="dxa"/>
          </w:tcPr>
          <w:p w:rsidR="00C169BC" w:rsidRDefault="00C169BC" w:rsidP="008D27DF">
            <w:pPr>
              <w:jc w:val="both"/>
            </w:pPr>
            <w:r>
              <w:t>Seguimiento</w:t>
            </w:r>
          </w:p>
        </w:tc>
      </w:tr>
      <w:tr w:rsidR="00C169BC" w:rsidTr="008D27DF">
        <w:tc>
          <w:tcPr>
            <w:tcW w:w="2992" w:type="dxa"/>
            <w:vMerge w:val="restart"/>
            <w:vAlign w:val="center"/>
          </w:tcPr>
          <w:p w:rsidR="00C169BC" w:rsidRDefault="00C169BC" w:rsidP="00C169BC">
            <w:pPr>
              <w:jc w:val="center"/>
            </w:pPr>
            <w:r>
              <w:t>Gestión Administrativa/ Contractual</w:t>
            </w:r>
          </w:p>
        </w:tc>
        <w:tc>
          <w:tcPr>
            <w:tcW w:w="2993" w:type="dxa"/>
          </w:tcPr>
          <w:p w:rsidR="00C169BC" w:rsidRDefault="00C169BC" w:rsidP="008D27DF">
            <w:r w:rsidRPr="00C169BC">
              <w:t>Inoportunidad en la entrega de los estudios previos y demás documentos asociados a la gestión contractual institucional y deficiencias en su contenido</w:t>
            </w:r>
          </w:p>
        </w:tc>
        <w:tc>
          <w:tcPr>
            <w:tcW w:w="2993" w:type="dxa"/>
            <w:vMerge w:val="restart"/>
            <w:vAlign w:val="center"/>
          </w:tcPr>
          <w:p w:rsidR="00C169BC" w:rsidRDefault="00C169BC" w:rsidP="008D27DF">
            <w:pPr>
              <w:jc w:val="center"/>
            </w:pPr>
            <w:r>
              <w:t>No hay seguimiento</w:t>
            </w:r>
          </w:p>
        </w:tc>
      </w:tr>
      <w:tr w:rsidR="00C169BC" w:rsidTr="008D27DF">
        <w:tc>
          <w:tcPr>
            <w:tcW w:w="2992" w:type="dxa"/>
            <w:vMerge/>
          </w:tcPr>
          <w:p w:rsidR="00C169BC" w:rsidRDefault="00C169BC" w:rsidP="008D27DF">
            <w:pPr>
              <w:jc w:val="both"/>
            </w:pPr>
          </w:p>
        </w:tc>
        <w:tc>
          <w:tcPr>
            <w:tcW w:w="2993" w:type="dxa"/>
          </w:tcPr>
          <w:p w:rsidR="00C169BC" w:rsidRDefault="00C169BC" w:rsidP="008D27DF">
            <w:r w:rsidRPr="00C169BC">
              <w:t>Extralimitación de funciones en beneficio personal o de un tercero</w:t>
            </w:r>
          </w:p>
        </w:tc>
        <w:tc>
          <w:tcPr>
            <w:tcW w:w="2993" w:type="dxa"/>
            <w:vMerge/>
          </w:tcPr>
          <w:p w:rsidR="00C169BC" w:rsidRDefault="00C169BC" w:rsidP="008D27DF">
            <w:pPr>
              <w:jc w:val="both"/>
            </w:pPr>
          </w:p>
        </w:tc>
      </w:tr>
      <w:tr w:rsidR="00C169BC" w:rsidTr="008D27DF">
        <w:tc>
          <w:tcPr>
            <w:tcW w:w="2992" w:type="dxa"/>
            <w:vMerge/>
          </w:tcPr>
          <w:p w:rsidR="00C169BC" w:rsidRDefault="00C169BC" w:rsidP="008D27DF">
            <w:pPr>
              <w:jc w:val="both"/>
            </w:pPr>
          </w:p>
        </w:tc>
        <w:tc>
          <w:tcPr>
            <w:tcW w:w="2993" w:type="dxa"/>
            <w:vAlign w:val="center"/>
          </w:tcPr>
          <w:p w:rsidR="00C169BC" w:rsidRPr="00E6754E" w:rsidRDefault="00C169BC" w:rsidP="008D27DF">
            <w:r w:rsidRPr="00C169BC">
              <w:t>Desvío de recursos físicos y económicos de la entidad.</w:t>
            </w:r>
          </w:p>
        </w:tc>
        <w:tc>
          <w:tcPr>
            <w:tcW w:w="2993" w:type="dxa"/>
          </w:tcPr>
          <w:p w:rsidR="00C169BC" w:rsidRDefault="00C169BC" w:rsidP="00C169BC">
            <w:pPr>
              <w:jc w:val="center"/>
            </w:pPr>
            <w:r>
              <w:t>Hasta el mes de julio</w:t>
            </w:r>
          </w:p>
        </w:tc>
      </w:tr>
    </w:tbl>
    <w:p w:rsidR="00C169BC" w:rsidRDefault="00C169BC" w:rsidP="00AF0703">
      <w:pPr>
        <w:jc w:val="both"/>
        <w:rPr>
          <w:color w:val="FF0000"/>
        </w:rPr>
      </w:pPr>
    </w:p>
    <w:tbl>
      <w:tblPr>
        <w:tblStyle w:val="Tablaconcuadrcula"/>
        <w:tblW w:w="0" w:type="auto"/>
        <w:tblLook w:val="04A0" w:firstRow="1" w:lastRow="0" w:firstColumn="1" w:lastColumn="0" w:noHBand="0" w:noVBand="1"/>
      </w:tblPr>
      <w:tblGrid>
        <w:gridCol w:w="2992"/>
        <w:gridCol w:w="2993"/>
        <w:gridCol w:w="2993"/>
      </w:tblGrid>
      <w:tr w:rsidR="00C169BC" w:rsidTr="008D27DF">
        <w:tc>
          <w:tcPr>
            <w:tcW w:w="2992" w:type="dxa"/>
          </w:tcPr>
          <w:p w:rsidR="00C169BC" w:rsidRDefault="00C169BC" w:rsidP="008D27DF">
            <w:pPr>
              <w:jc w:val="both"/>
            </w:pPr>
            <w:r>
              <w:t xml:space="preserve">Proceso </w:t>
            </w:r>
          </w:p>
        </w:tc>
        <w:tc>
          <w:tcPr>
            <w:tcW w:w="2993" w:type="dxa"/>
          </w:tcPr>
          <w:p w:rsidR="00C169BC" w:rsidRDefault="00C169BC" w:rsidP="008D27DF">
            <w:pPr>
              <w:jc w:val="both"/>
            </w:pPr>
            <w:r>
              <w:t>Riesgo</w:t>
            </w:r>
          </w:p>
        </w:tc>
        <w:tc>
          <w:tcPr>
            <w:tcW w:w="2993" w:type="dxa"/>
          </w:tcPr>
          <w:p w:rsidR="00C169BC" w:rsidRDefault="00C169BC" w:rsidP="008D27DF">
            <w:pPr>
              <w:jc w:val="both"/>
            </w:pPr>
            <w:r>
              <w:t>Seguimiento</w:t>
            </w:r>
          </w:p>
        </w:tc>
      </w:tr>
      <w:tr w:rsidR="00C169BC" w:rsidTr="008D27DF">
        <w:tc>
          <w:tcPr>
            <w:tcW w:w="2992" w:type="dxa"/>
            <w:vMerge w:val="restart"/>
            <w:vAlign w:val="center"/>
          </w:tcPr>
          <w:p w:rsidR="00C169BC" w:rsidRDefault="00C169BC" w:rsidP="00C169BC">
            <w:pPr>
              <w:jc w:val="center"/>
            </w:pPr>
            <w:r>
              <w:t>Gestión del Talento Humano</w:t>
            </w:r>
          </w:p>
        </w:tc>
        <w:tc>
          <w:tcPr>
            <w:tcW w:w="2993" w:type="dxa"/>
          </w:tcPr>
          <w:p w:rsidR="00C169BC" w:rsidRDefault="00C169BC" w:rsidP="008D27DF">
            <w:r w:rsidRPr="00C169BC">
              <w:t>Incumplimiento de los requisitos de Ley y procedimientos  para el ingreso, permanencia y retiro del personal.</w:t>
            </w:r>
          </w:p>
        </w:tc>
        <w:tc>
          <w:tcPr>
            <w:tcW w:w="2993" w:type="dxa"/>
            <w:vMerge w:val="restart"/>
            <w:vAlign w:val="center"/>
          </w:tcPr>
          <w:p w:rsidR="00C169BC" w:rsidRDefault="00C169BC" w:rsidP="00C169BC">
            <w:pPr>
              <w:jc w:val="center"/>
            </w:pPr>
            <w:r>
              <w:t>Hasta el mes de agosto.</w:t>
            </w:r>
          </w:p>
        </w:tc>
      </w:tr>
      <w:tr w:rsidR="00C169BC" w:rsidTr="008D27DF">
        <w:tc>
          <w:tcPr>
            <w:tcW w:w="2992" w:type="dxa"/>
            <w:vMerge/>
          </w:tcPr>
          <w:p w:rsidR="00C169BC" w:rsidRDefault="00C169BC" w:rsidP="008D27DF">
            <w:pPr>
              <w:jc w:val="both"/>
            </w:pPr>
          </w:p>
        </w:tc>
        <w:tc>
          <w:tcPr>
            <w:tcW w:w="2993" w:type="dxa"/>
          </w:tcPr>
          <w:p w:rsidR="00C169BC" w:rsidRDefault="00C169BC" w:rsidP="008D27DF">
            <w:r w:rsidRPr="00C169BC">
              <w:t>Inexactitud e inoportunidad en los pagos de salarios,  prestaciones sociales, aportes parafiscales y seguridad social.</w:t>
            </w:r>
          </w:p>
        </w:tc>
        <w:tc>
          <w:tcPr>
            <w:tcW w:w="2993" w:type="dxa"/>
            <w:vMerge/>
          </w:tcPr>
          <w:p w:rsidR="00C169BC" w:rsidRDefault="00C169BC" w:rsidP="008D27DF">
            <w:pPr>
              <w:jc w:val="both"/>
            </w:pPr>
          </w:p>
        </w:tc>
      </w:tr>
      <w:tr w:rsidR="00C169BC" w:rsidTr="008D27DF">
        <w:tc>
          <w:tcPr>
            <w:tcW w:w="2992" w:type="dxa"/>
            <w:vMerge/>
          </w:tcPr>
          <w:p w:rsidR="00C169BC" w:rsidRDefault="00C169BC" w:rsidP="008D27DF">
            <w:pPr>
              <w:jc w:val="both"/>
            </w:pPr>
          </w:p>
        </w:tc>
        <w:tc>
          <w:tcPr>
            <w:tcW w:w="2993" w:type="dxa"/>
            <w:vAlign w:val="center"/>
          </w:tcPr>
          <w:p w:rsidR="00C169BC" w:rsidRPr="00E6754E" w:rsidRDefault="00C169BC" w:rsidP="008D27DF">
            <w:r w:rsidRPr="00C169BC">
              <w:t>Incumplimiento de los planes y programas de inducción, re inducción, salud ocupacional, bienestar y capacitación.</w:t>
            </w:r>
          </w:p>
        </w:tc>
        <w:tc>
          <w:tcPr>
            <w:tcW w:w="2993" w:type="dxa"/>
            <w:vMerge/>
          </w:tcPr>
          <w:p w:rsidR="00C169BC" w:rsidRDefault="00C169BC" w:rsidP="008D27DF">
            <w:pPr>
              <w:jc w:val="both"/>
            </w:pPr>
          </w:p>
        </w:tc>
      </w:tr>
      <w:tr w:rsidR="00C169BC" w:rsidTr="008D27DF">
        <w:tc>
          <w:tcPr>
            <w:tcW w:w="2992" w:type="dxa"/>
            <w:vMerge/>
          </w:tcPr>
          <w:p w:rsidR="00C169BC" w:rsidRDefault="00C169BC" w:rsidP="008D27DF">
            <w:pPr>
              <w:jc w:val="both"/>
            </w:pPr>
          </w:p>
        </w:tc>
        <w:tc>
          <w:tcPr>
            <w:tcW w:w="2993" w:type="dxa"/>
            <w:vAlign w:val="center"/>
          </w:tcPr>
          <w:p w:rsidR="00C169BC" w:rsidRPr="00E6754E" w:rsidRDefault="00C169BC" w:rsidP="008D27DF">
            <w:r w:rsidRPr="00C169BC">
              <w:t>Indebida aplicación de las normas y procedimientos en beneficio propio o de un tercero.</w:t>
            </w:r>
          </w:p>
        </w:tc>
        <w:tc>
          <w:tcPr>
            <w:tcW w:w="2993" w:type="dxa"/>
            <w:vMerge/>
          </w:tcPr>
          <w:p w:rsidR="00C169BC" w:rsidRDefault="00C169BC" w:rsidP="008D27DF">
            <w:pPr>
              <w:jc w:val="both"/>
            </w:pPr>
          </w:p>
        </w:tc>
      </w:tr>
    </w:tbl>
    <w:p w:rsidR="00C169BC" w:rsidRDefault="00C169BC" w:rsidP="00AF0703">
      <w:pPr>
        <w:jc w:val="both"/>
        <w:rPr>
          <w:color w:val="FF0000"/>
        </w:rPr>
      </w:pPr>
    </w:p>
    <w:tbl>
      <w:tblPr>
        <w:tblStyle w:val="Tablaconcuadrcula"/>
        <w:tblW w:w="0" w:type="auto"/>
        <w:tblLook w:val="04A0" w:firstRow="1" w:lastRow="0" w:firstColumn="1" w:lastColumn="0" w:noHBand="0" w:noVBand="1"/>
      </w:tblPr>
      <w:tblGrid>
        <w:gridCol w:w="2992"/>
        <w:gridCol w:w="2993"/>
        <w:gridCol w:w="2993"/>
      </w:tblGrid>
      <w:tr w:rsidR="00C169BC" w:rsidTr="008D27DF">
        <w:tc>
          <w:tcPr>
            <w:tcW w:w="2992" w:type="dxa"/>
          </w:tcPr>
          <w:p w:rsidR="00C169BC" w:rsidRDefault="00C169BC" w:rsidP="008D27DF">
            <w:pPr>
              <w:jc w:val="both"/>
            </w:pPr>
            <w:r>
              <w:t xml:space="preserve">Proceso </w:t>
            </w:r>
          </w:p>
        </w:tc>
        <w:tc>
          <w:tcPr>
            <w:tcW w:w="2993" w:type="dxa"/>
          </w:tcPr>
          <w:p w:rsidR="00C169BC" w:rsidRDefault="00C169BC" w:rsidP="008D27DF">
            <w:pPr>
              <w:jc w:val="both"/>
            </w:pPr>
            <w:r>
              <w:t>Riesgo</w:t>
            </w:r>
          </w:p>
        </w:tc>
        <w:tc>
          <w:tcPr>
            <w:tcW w:w="2993" w:type="dxa"/>
          </w:tcPr>
          <w:p w:rsidR="00C169BC" w:rsidRDefault="00C169BC" w:rsidP="008D27DF">
            <w:pPr>
              <w:jc w:val="both"/>
            </w:pPr>
            <w:r>
              <w:t>Seguimiento</w:t>
            </w:r>
          </w:p>
        </w:tc>
      </w:tr>
      <w:tr w:rsidR="00C169BC" w:rsidTr="008D27DF">
        <w:tc>
          <w:tcPr>
            <w:tcW w:w="2992" w:type="dxa"/>
            <w:vMerge w:val="restart"/>
            <w:vAlign w:val="center"/>
          </w:tcPr>
          <w:p w:rsidR="00C169BC" w:rsidRDefault="00C169BC" w:rsidP="008D27DF">
            <w:pPr>
              <w:jc w:val="center"/>
            </w:pPr>
            <w:r>
              <w:t xml:space="preserve">Administración de la Tecnología </w:t>
            </w:r>
          </w:p>
        </w:tc>
        <w:tc>
          <w:tcPr>
            <w:tcW w:w="2993" w:type="dxa"/>
          </w:tcPr>
          <w:p w:rsidR="00C169BC" w:rsidRDefault="00C169BC" w:rsidP="008D27DF">
            <w:r w:rsidRPr="00C169BC">
              <w:t>Servicios no disponibles de Tecnología Informática</w:t>
            </w:r>
          </w:p>
        </w:tc>
        <w:tc>
          <w:tcPr>
            <w:tcW w:w="2993" w:type="dxa"/>
            <w:vMerge w:val="restart"/>
            <w:vAlign w:val="center"/>
          </w:tcPr>
          <w:p w:rsidR="00C169BC" w:rsidRDefault="00C169BC" w:rsidP="008D27DF">
            <w:pPr>
              <w:jc w:val="center"/>
            </w:pPr>
            <w:r>
              <w:t>Hasta el mes de agosto.</w:t>
            </w:r>
          </w:p>
        </w:tc>
      </w:tr>
      <w:tr w:rsidR="00C169BC" w:rsidTr="008D27DF">
        <w:tc>
          <w:tcPr>
            <w:tcW w:w="2992" w:type="dxa"/>
            <w:vMerge/>
          </w:tcPr>
          <w:p w:rsidR="00C169BC" w:rsidRDefault="00C169BC" w:rsidP="008D27DF">
            <w:pPr>
              <w:jc w:val="both"/>
            </w:pPr>
          </w:p>
        </w:tc>
        <w:tc>
          <w:tcPr>
            <w:tcW w:w="2993" w:type="dxa"/>
          </w:tcPr>
          <w:p w:rsidR="00C169BC" w:rsidRDefault="00C169BC" w:rsidP="008D27DF">
            <w:r w:rsidRPr="00C169BC">
              <w:t>Vulnerabilidad de la información</w:t>
            </w:r>
          </w:p>
        </w:tc>
        <w:tc>
          <w:tcPr>
            <w:tcW w:w="2993" w:type="dxa"/>
            <w:vMerge/>
          </w:tcPr>
          <w:p w:rsidR="00C169BC" w:rsidRDefault="00C169BC" w:rsidP="008D27DF">
            <w:pPr>
              <w:jc w:val="both"/>
            </w:pPr>
          </w:p>
        </w:tc>
      </w:tr>
      <w:tr w:rsidR="00C169BC" w:rsidTr="008D27DF">
        <w:tc>
          <w:tcPr>
            <w:tcW w:w="2992" w:type="dxa"/>
            <w:vMerge/>
          </w:tcPr>
          <w:p w:rsidR="00C169BC" w:rsidRDefault="00C169BC" w:rsidP="008D27DF">
            <w:pPr>
              <w:jc w:val="both"/>
            </w:pPr>
          </w:p>
        </w:tc>
        <w:tc>
          <w:tcPr>
            <w:tcW w:w="2993" w:type="dxa"/>
            <w:vAlign w:val="center"/>
          </w:tcPr>
          <w:p w:rsidR="00C169BC" w:rsidRPr="00E6754E" w:rsidRDefault="00C169BC" w:rsidP="008D27DF">
            <w:r w:rsidRPr="00C169BC">
              <w:t>Uso indebido de la información que reposa en las bases de datos</w:t>
            </w:r>
          </w:p>
        </w:tc>
        <w:tc>
          <w:tcPr>
            <w:tcW w:w="2993" w:type="dxa"/>
            <w:vMerge/>
          </w:tcPr>
          <w:p w:rsidR="00C169BC" w:rsidRDefault="00C169BC" w:rsidP="008D27DF">
            <w:pPr>
              <w:jc w:val="both"/>
            </w:pPr>
          </w:p>
        </w:tc>
      </w:tr>
    </w:tbl>
    <w:p w:rsidR="00C169BC" w:rsidRDefault="00C169BC" w:rsidP="00AF0703">
      <w:pPr>
        <w:jc w:val="both"/>
        <w:rPr>
          <w:color w:val="FF0000"/>
        </w:rPr>
      </w:pPr>
    </w:p>
    <w:p w:rsidR="00C169BC" w:rsidRDefault="00C169BC" w:rsidP="00C169BC">
      <w:pPr>
        <w:pStyle w:val="Prrafodelista"/>
        <w:numPr>
          <w:ilvl w:val="0"/>
          <w:numId w:val="1"/>
        </w:numPr>
        <w:jc w:val="both"/>
      </w:pPr>
      <w:r w:rsidRPr="00C169BC">
        <w:lastRenderedPageBreak/>
        <w:t>El proceso de Apoyo Jurídico y Representación se encuentra al día en sus seguimientos.</w:t>
      </w:r>
    </w:p>
    <w:p w:rsidR="00C169BC" w:rsidRDefault="00C169BC" w:rsidP="00C169BC">
      <w:pPr>
        <w:pStyle w:val="Prrafodelista"/>
        <w:jc w:val="both"/>
      </w:pPr>
    </w:p>
    <w:tbl>
      <w:tblPr>
        <w:tblStyle w:val="Tablaconcuadrcula"/>
        <w:tblW w:w="0" w:type="auto"/>
        <w:tblLook w:val="04A0" w:firstRow="1" w:lastRow="0" w:firstColumn="1" w:lastColumn="0" w:noHBand="0" w:noVBand="1"/>
      </w:tblPr>
      <w:tblGrid>
        <w:gridCol w:w="2992"/>
        <w:gridCol w:w="2993"/>
        <w:gridCol w:w="2993"/>
      </w:tblGrid>
      <w:tr w:rsidR="00C169BC" w:rsidTr="008D27DF">
        <w:tc>
          <w:tcPr>
            <w:tcW w:w="2992" w:type="dxa"/>
          </w:tcPr>
          <w:p w:rsidR="00C169BC" w:rsidRDefault="00C169BC" w:rsidP="008D27DF">
            <w:pPr>
              <w:jc w:val="both"/>
            </w:pPr>
            <w:r>
              <w:t xml:space="preserve">Proceso </w:t>
            </w:r>
          </w:p>
        </w:tc>
        <w:tc>
          <w:tcPr>
            <w:tcW w:w="2993" w:type="dxa"/>
          </w:tcPr>
          <w:p w:rsidR="00C169BC" w:rsidRDefault="00C169BC" w:rsidP="008D27DF">
            <w:pPr>
              <w:jc w:val="both"/>
            </w:pPr>
            <w:r>
              <w:t>Riesgo</w:t>
            </w:r>
          </w:p>
        </w:tc>
        <w:tc>
          <w:tcPr>
            <w:tcW w:w="2993" w:type="dxa"/>
          </w:tcPr>
          <w:p w:rsidR="00C169BC" w:rsidRDefault="00C169BC" w:rsidP="008D27DF">
            <w:pPr>
              <w:jc w:val="both"/>
            </w:pPr>
            <w:r>
              <w:t>Seguimiento</w:t>
            </w:r>
          </w:p>
        </w:tc>
      </w:tr>
      <w:tr w:rsidR="00C169BC" w:rsidTr="008D27DF">
        <w:tc>
          <w:tcPr>
            <w:tcW w:w="2992" w:type="dxa"/>
            <w:vMerge w:val="restart"/>
            <w:vAlign w:val="center"/>
          </w:tcPr>
          <w:p w:rsidR="00C169BC" w:rsidRDefault="00C169BC" w:rsidP="008D27DF">
            <w:pPr>
              <w:jc w:val="center"/>
            </w:pPr>
            <w:r>
              <w:t xml:space="preserve">Medición y Análisis  </w:t>
            </w:r>
          </w:p>
        </w:tc>
        <w:tc>
          <w:tcPr>
            <w:tcW w:w="2993" w:type="dxa"/>
          </w:tcPr>
          <w:p w:rsidR="00C169BC" w:rsidRDefault="00C169BC" w:rsidP="008D27DF">
            <w:r w:rsidRPr="00C169BC">
              <w:t>Inadecuada aplicación de los métodos para el seguimiento, medición y evaluación de los procesos</w:t>
            </w:r>
          </w:p>
        </w:tc>
        <w:tc>
          <w:tcPr>
            <w:tcW w:w="2993" w:type="dxa"/>
            <w:vMerge w:val="restart"/>
            <w:vAlign w:val="center"/>
          </w:tcPr>
          <w:p w:rsidR="00C169BC" w:rsidRDefault="00C169BC" w:rsidP="008D27DF">
            <w:pPr>
              <w:jc w:val="center"/>
            </w:pPr>
            <w:r>
              <w:t>Hasta el mes de agosto.</w:t>
            </w:r>
          </w:p>
        </w:tc>
      </w:tr>
      <w:tr w:rsidR="00C169BC" w:rsidTr="008D27DF">
        <w:tc>
          <w:tcPr>
            <w:tcW w:w="2992" w:type="dxa"/>
            <w:vMerge/>
          </w:tcPr>
          <w:p w:rsidR="00C169BC" w:rsidRDefault="00C169BC" w:rsidP="008D27DF">
            <w:pPr>
              <w:jc w:val="both"/>
            </w:pPr>
          </w:p>
        </w:tc>
        <w:tc>
          <w:tcPr>
            <w:tcW w:w="2993" w:type="dxa"/>
          </w:tcPr>
          <w:p w:rsidR="00C169BC" w:rsidRDefault="00C169BC" w:rsidP="008D27DF">
            <w:r w:rsidRPr="00C169BC">
              <w:t>Inapropiada aplicación de los lineamientos de planeación</w:t>
            </w:r>
          </w:p>
        </w:tc>
        <w:tc>
          <w:tcPr>
            <w:tcW w:w="2993" w:type="dxa"/>
            <w:vMerge/>
          </w:tcPr>
          <w:p w:rsidR="00C169BC" w:rsidRDefault="00C169BC" w:rsidP="008D27DF">
            <w:pPr>
              <w:jc w:val="both"/>
            </w:pPr>
          </w:p>
        </w:tc>
      </w:tr>
      <w:tr w:rsidR="00C169BC" w:rsidTr="008D27DF">
        <w:tc>
          <w:tcPr>
            <w:tcW w:w="2992" w:type="dxa"/>
            <w:vMerge/>
          </w:tcPr>
          <w:p w:rsidR="00C169BC" w:rsidRDefault="00C169BC" w:rsidP="008D27DF">
            <w:pPr>
              <w:jc w:val="both"/>
            </w:pPr>
          </w:p>
        </w:tc>
        <w:tc>
          <w:tcPr>
            <w:tcW w:w="2993" w:type="dxa"/>
            <w:vAlign w:val="center"/>
          </w:tcPr>
          <w:p w:rsidR="00C169BC" w:rsidRPr="00E6754E" w:rsidRDefault="00C169BC" w:rsidP="008D27DF">
            <w:r w:rsidRPr="00C169BC">
              <w:t>Inoportunidad e inexactitud en la presentación de los informes</w:t>
            </w:r>
          </w:p>
        </w:tc>
        <w:tc>
          <w:tcPr>
            <w:tcW w:w="2993" w:type="dxa"/>
            <w:vMerge/>
          </w:tcPr>
          <w:p w:rsidR="00C169BC" w:rsidRDefault="00C169BC" w:rsidP="008D27DF">
            <w:pPr>
              <w:jc w:val="both"/>
            </w:pPr>
          </w:p>
        </w:tc>
      </w:tr>
      <w:tr w:rsidR="00C169BC" w:rsidTr="008D27DF">
        <w:tc>
          <w:tcPr>
            <w:tcW w:w="2992" w:type="dxa"/>
            <w:vMerge/>
          </w:tcPr>
          <w:p w:rsidR="00C169BC" w:rsidRDefault="00C169BC" w:rsidP="008D27DF">
            <w:pPr>
              <w:jc w:val="both"/>
            </w:pPr>
          </w:p>
        </w:tc>
        <w:tc>
          <w:tcPr>
            <w:tcW w:w="2993" w:type="dxa"/>
            <w:vAlign w:val="center"/>
          </w:tcPr>
          <w:p w:rsidR="00C169BC" w:rsidRPr="00C169BC" w:rsidRDefault="00C169BC" w:rsidP="008D27DF">
            <w:r w:rsidRPr="00C169BC">
              <w:t>Uso indebido de la información</w:t>
            </w:r>
          </w:p>
        </w:tc>
        <w:tc>
          <w:tcPr>
            <w:tcW w:w="2993" w:type="dxa"/>
            <w:vMerge/>
          </w:tcPr>
          <w:p w:rsidR="00C169BC" w:rsidRDefault="00C169BC" w:rsidP="008D27DF">
            <w:pPr>
              <w:jc w:val="both"/>
            </w:pPr>
          </w:p>
        </w:tc>
      </w:tr>
    </w:tbl>
    <w:p w:rsidR="00C169BC" w:rsidRPr="00C169BC" w:rsidRDefault="00C169BC" w:rsidP="00AF0703">
      <w:pPr>
        <w:jc w:val="both"/>
      </w:pPr>
    </w:p>
    <w:p w:rsidR="00C169BC" w:rsidRPr="00C169BC" w:rsidRDefault="00C169BC" w:rsidP="00AF0703">
      <w:pPr>
        <w:jc w:val="both"/>
      </w:pPr>
      <w:r w:rsidRPr="00C169BC">
        <w:t>Oficina de Control Interno</w:t>
      </w:r>
    </w:p>
    <w:p w:rsidR="00C169BC" w:rsidRPr="00C169BC" w:rsidRDefault="00C169BC" w:rsidP="00AF0703">
      <w:pPr>
        <w:jc w:val="both"/>
      </w:pPr>
      <w:r w:rsidRPr="00C169BC">
        <w:t>Noviembre de 2014</w:t>
      </w:r>
    </w:p>
    <w:p w:rsidR="00C169BC" w:rsidRPr="00AF0703" w:rsidRDefault="00C169BC" w:rsidP="00AF0703">
      <w:pPr>
        <w:jc w:val="both"/>
        <w:rPr>
          <w:color w:val="FF0000"/>
        </w:rPr>
      </w:pPr>
    </w:p>
    <w:sectPr w:rsidR="00C169BC" w:rsidRPr="00AF0703" w:rsidSect="009A74A3">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44840"/>
    <w:multiLevelType w:val="hybridMultilevel"/>
    <w:tmpl w:val="2654A6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2AC"/>
    <w:rsid w:val="00144019"/>
    <w:rsid w:val="001E7E43"/>
    <w:rsid w:val="002252AC"/>
    <w:rsid w:val="002E7122"/>
    <w:rsid w:val="00380FF6"/>
    <w:rsid w:val="00585E85"/>
    <w:rsid w:val="00710EB1"/>
    <w:rsid w:val="00743406"/>
    <w:rsid w:val="007651D6"/>
    <w:rsid w:val="008A2883"/>
    <w:rsid w:val="009979AF"/>
    <w:rsid w:val="009A74A3"/>
    <w:rsid w:val="00A0010E"/>
    <w:rsid w:val="00A56E7B"/>
    <w:rsid w:val="00AF0703"/>
    <w:rsid w:val="00B728FD"/>
    <w:rsid w:val="00C169BC"/>
    <w:rsid w:val="00C4554F"/>
    <w:rsid w:val="00C81C05"/>
    <w:rsid w:val="00C934D6"/>
    <w:rsid w:val="00D62478"/>
    <w:rsid w:val="00D964B9"/>
    <w:rsid w:val="00E6754E"/>
    <w:rsid w:val="00EF689E"/>
    <w:rsid w:val="00FE02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964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64B9"/>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C93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169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964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64B9"/>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C93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16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213983">
      <w:bodyDiv w:val="1"/>
      <w:marLeft w:val="0"/>
      <w:marRight w:val="0"/>
      <w:marTop w:val="0"/>
      <w:marBottom w:val="0"/>
      <w:divBdr>
        <w:top w:val="none" w:sz="0" w:space="0" w:color="auto"/>
        <w:left w:val="none" w:sz="0" w:space="0" w:color="auto"/>
        <w:bottom w:val="none" w:sz="0" w:space="0" w:color="auto"/>
        <w:right w:val="none" w:sz="0" w:space="0" w:color="auto"/>
      </w:divBdr>
    </w:div>
    <w:div w:id="405617068">
      <w:bodyDiv w:val="1"/>
      <w:marLeft w:val="0"/>
      <w:marRight w:val="0"/>
      <w:marTop w:val="0"/>
      <w:marBottom w:val="0"/>
      <w:divBdr>
        <w:top w:val="none" w:sz="0" w:space="0" w:color="auto"/>
        <w:left w:val="none" w:sz="0" w:space="0" w:color="auto"/>
        <w:bottom w:val="none" w:sz="0" w:space="0" w:color="auto"/>
        <w:right w:val="none" w:sz="0" w:space="0" w:color="auto"/>
      </w:divBdr>
    </w:div>
    <w:div w:id="845245400">
      <w:bodyDiv w:val="1"/>
      <w:marLeft w:val="0"/>
      <w:marRight w:val="0"/>
      <w:marTop w:val="0"/>
      <w:marBottom w:val="0"/>
      <w:divBdr>
        <w:top w:val="none" w:sz="0" w:space="0" w:color="auto"/>
        <w:left w:val="none" w:sz="0" w:space="0" w:color="auto"/>
        <w:bottom w:val="none" w:sz="0" w:space="0" w:color="auto"/>
        <w:right w:val="none" w:sz="0" w:space="0" w:color="auto"/>
      </w:divBdr>
    </w:div>
    <w:div w:id="1171330103">
      <w:bodyDiv w:val="1"/>
      <w:marLeft w:val="0"/>
      <w:marRight w:val="0"/>
      <w:marTop w:val="0"/>
      <w:marBottom w:val="0"/>
      <w:divBdr>
        <w:top w:val="none" w:sz="0" w:space="0" w:color="auto"/>
        <w:left w:val="none" w:sz="0" w:space="0" w:color="auto"/>
        <w:bottom w:val="none" w:sz="0" w:space="0" w:color="auto"/>
        <w:right w:val="none" w:sz="0" w:space="0" w:color="auto"/>
      </w:divBdr>
    </w:div>
    <w:div w:id="1253586927">
      <w:bodyDiv w:val="1"/>
      <w:marLeft w:val="0"/>
      <w:marRight w:val="0"/>
      <w:marTop w:val="0"/>
      <w:marBottom w:val="0"/>
      <w:divBdr>
        <w:top w:val="none" w:sz="0" w:space="0" w:color="auto"/>
        <w:left w:val="none" w:sz="0" w:space="0" w:color="auto"/>
        <w:bottom w:val="none" w:sz="0" w:space="0" w:color="auto"/>
        <w:right w:val="none" w:sz="0" w:space="0" w:color="auto"/>
      </w:divBdr>
    </w:div>
    <w:div w:id="1336953087">
      <w:bodyDiv w:val="1"/>
      <w:marLeft w:val="0"/>
      <w:marRight w:val="0"/>
      <w:marTop w:val="0"/>
      <w:marBottom w:val="0"/>
      <w:divBdr>
        <w:top w:val="none" w:sz="0" w:space="0" w:color="auto"/>
        <w:left w:val="none" w:sz="0" w:space="0" w:color="auto"/>
        <w:bottom w:val="none" w:sz="0" w:space="0" w:color="auto"/>
        <w:right w:val="none" w:sz="0" w:space="0" w:color="auto"/>
      </w:divBdr>
    </w:div>
    <w:div w:id="18660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1488</Words>
  <Characters>8184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Antonio Gonzalez Pinzon</dc:creator>
  <cp:lastModifiedBy>Carmenza Alarcon</cp:lastModifiedBy>
  <cp:revision>2</cp:revision>
  <dcterms:created xsi:type="dcterms:W3CDTF">2016-06-28T16:40:00Z</dcterms:created>
  <dcterms:modified xsi:type="dcterms:W3CDTF">2016-06-28T16:40:00Z</dcterms:modified>
</cp:coreProperties>
</file>