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3887B2A8" wp14:editId="48DDBA50">
                <wp:simplePos x="0" y="0"/>
                <wp:positionH relativeFrom="column">
                  <wp:posOffset>1485900</wp:posOffset>
                </wp:positionH>
                <wp:positionV relativeFrom="paragraph">
                  <wp:posOffset>3657600</wp:posOffset>
                </wp:positionV>
                <wp:extent cx="5019675" cy="115252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152525"/>
                        </a:xfrm>
                        <a:prstGeom prst="rect">
                          <a:avLst/>
                        </a:prstGeom>
                        <a:noFill/>
                        <a:ln>
                          <a:noFill/>
                        </a:ln>
                        <a:effectLst/>
                        <a:extLst>
                          <a:ext uri="{C572A759-6A51-4108-AA02-DFA0A04FC94B}"/>
                        </a:extLst>
                      </wps:spPr>
                      <wps:txbx>
                        <w:txbxContent>
                          <w:p w:rsidR="008C4954" w:rsidRDefault="008C4954"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NFORME</w:t>
                            </w:r>
                            <w:r w:rsidR="00EF5E02">
                              <w:rPr>
                                <w:rFonts w:ascii="Futura Std Bold" w:hAnsi="Futura Std Bold"/>
                                <w:color w:val="FFFFFF"/>
                                <w:sz w:val="32"/>
                                <w:szCs w:val="32"/>
                              </w:rPr>
                              <w:t xml:space="preserve"> </w:t>
                            </w:r>
                            <w:r w:rsidR="0034703B">
                              <w:rPr>
                                <w:rFonts w:ascii="Futura Std Bold" w:hAnsi="Futura Std Bold"/>
                                <w:color w:val="FFFFFF"/>
                                <w:sz w:val="32"/>
                                <w:szCs w:val="32"/>
                              </w:rPr>
                              <w:t>DE</w:t>
                            </w:r>
                            <w:r w:rsidRPr="00AC735A">
                              <w:rPr>
                                <w:rFonts w:ascii="Futura Std Bold" w:hAnsi="Futura Std Bold"/>
                                <w:color w:val="FFFFFF"/>
                                <w:sz w:val="32"/>
                                <w:szCs w:val="32"/>
                              </w:rPr>
                              <w:t xml:space="preserve"> </w:t>
                            </w:r>
                            <w:r>
                              <w:rPr>
                                <w:rFonts w:ascii="Futura Std Bold" w:hAnsi="Futura Std Bold"/>
                                <w:color w:val="FFFFFF"/>
                                <w:sz w:val="32"/>
                                <w:szCs w:val="32"/>
                              </w:rPr>
                              <w:t>SEGUIMIENTO</w:t>
                            </w:r>
                            <w:r w:rsidR="0034703B">
                              <w:rPr>
                                <w:rFonts w:ascii="Futura Std Bold" w:hAnsi="Futura Std Bold"/>
                                <w:color w:val="FFFFFF"/>
                                <w:sz w:val="32"/>
                                <w:szCs w:val="32"/>
                              </w:rPr>
                              <w:t xml:space="preserve"> AL</w:t>
                            </w:r>
                            <w:r>
                              <w:rPr>
                                <w:rFonts w:ascii="Futura Std Bold" w:hAnsi="Futura Std Bold"/>
                                <w:color w:val="FFFFFF"/>
                                <w:sz w:val="32"/>
                                <w:szCs w:val="32"/>
                              </w:rPr>
                              <w:t xml:space="preserve"> COMITÉ DE CONCILIACIÓN</w:t>
                            </w:r>
                            <w:r w:rsidR="003B5E8C">
                              <w:rPr>
                                <w:rFonts w:ascii="Futura Std Bold" w:hAnsi="Futura Std Bold"/>
                                <w:color w:val="FFFFFF"/>
                                <w:sz w:val="32"/>
                                <w:szCs w:val="32"/>
                              </w:rPr>
                              <w:t xml:space="preserve"> Y DEFENSA JUDICIAL</w:t>
                            </w:r>
                            <w:r>
                              <w:rPr>
                                <w:rFonts w:ascii="Futura Std Bold" w:hAnsi="Futura Std Bold"/>
                                <w:color w:val="FFFFFF"/>
                                <w:sz w:val="32"/>
                                <w:szCs w:val="32"/>
                              </w:rPr>
                              <w:t xml:space="preserve"> </w:t>
                            </w:r>
                          </w:p>
                          <w:p w:rsidR="008C4954" w:rsidRDefault="008C4954"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683411">
                              <w:rPr>
                                <w:rFonts w:ascii="Futura Std Bold" w:hAnsi="Futura Std Bold"/>
                                <w:color w:val="FFFFFF"/>
                                <w:sz w:val="32"/>
                                <w:szCs w:val="32"/>
                              </w:rPr>
                              <w:t>Diciembre</w:t>
                            </w:r>
                            <w:r>
                              <w:rPr>
                                <w:rFonts w:ascii="Futura Std Bold" w:hAnsi="Futura Std Bold"/>
                                <w:color w:val="FFFFFF"/>
                                <w:sz w:val="32"/>
                                <w:szCs w:val="32"/>
                              </w:rPr>
                              <w:t xml:space="preserve"> de 2016</w:t>
                            </w:r>
                          </w:p>
                          <w:p w:rsidR="008C4954" w:rsidRPr="007B4F82" w:rsidRDefault="008C4954"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87B2A8" id="_x0000_t202" coordsize="21600,21600" o:spt="202" path="m,l,21600r21600,l21600,xe">
                <v:stroke joinstyle="miter"/>
                <v:path gradientshapeok="t" o:connecttype="rect"/>
              </v:shapetype>
              <v:shape id="Cuadro de texto 27" o:spid="_x0000_s1026" type="#_x0000_t202" style="position:absolute;margin-left:117pt;margin-top:4in;width:395.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FCawIAAMMEAAAOAAAAZHJzL2Uyb0RvYy54bWysVNuO2jAQfa/Uf7D8DklQAktEWGVBVJXQ&#10;7kpstc/GcSBq4nFtQ7Kt+u8dO9y67VNVIZnxzPFcz2R23zU1OQptKpAZjYYhJUJyKCq5y+iXl9Xg&#10;jhJjmSxYDVJk9E0Yej//+GHWqlSMYA91ITRBJ9Kkrcro3lqVBoHhe9EwMwQlJBpL0A2zeNW7oNCs&#10;Re9NHYzCcBy0oAulgQtjULvsjXTu/Zel4PapLI2wpM4o5mb9qf25dWcwn7F0p5naV/yUBvuHLBpW&#10;SQx6cbVklpGDrv5w1VRcg4HSDjk0AZRlxYWvAauJwnfVbPZMCV8LNseoS5vM/3PLH4/PmlRFRkcT&#10;SiRrcEaLAys0kEIQKzoLBC3YplaZFNEbhXjbPUCH4/YlG7UG/tUgJLjB9A8Mol1bulI37h8LJvgQ&#10;J/F26T7GIByVSRhNx5OEEo62KEpG+HOBg+tzpY39JKAhTsioxvH6FNhxbWwPPUNcNAmrqq5Rz9Ja&#10;/qZAn71GeI70r1mKqaDokC4pP78fi2QyyifJdDDOk2gQR+HdIM/D0WC5ysM8jFeLafzw85Tn+b1v&#10;RF+7a4ntth1m4cQtFG/YQA09E43iqwprWTNjn5lG6mFrcJ3sEx5lDW1G4SRRsgf9/W96h0dGoJWS&#10;FqmcUfPtwLSgpP4skSvTKI4d9/0lxnLwom8t21uLPDQLwG2JcHEV96LD2/oslhqaV9y63EVFE5Mc&#10;Y2fUnsWF7RcMt5aLPPcgZLtidi03ip954yb10r0yrU7jdGx7hDPpWfpuqj22H2N+sFBWfuTXrp4I&#10;iJviSXPaareKt3ePun575r8AAAD//wMAUEsDBBQABgAIAAAAIQBPlcbX4QAAAAwBAAAPAAAAZHJz&#10;L2Rvd25yZXYueG1sTI/NTsMwEITvSLyDtUjcqENoGhSyqRBSBUJcCH0ANzZxlHhtxc4PPD3uid5m&#10;NaPZb8r9agY2q9F3lhDuNwkwRY2VHbUIx6/D3SMwHwRJMVhSCD/Kw766vipFIe1Cn2quQ8tiCflC&#10;IOgQXMG5b7Qywm+sUxS9bzsaEeI5tlyOYonlZuBpkuy4ER3FD1o49aJV09eTQThMr29m/uWTe6+b&#10;hbTrp+NHj3h7sz4/AQtqDf9hOONHdKgi08lOJD0bENKHbdwSELJ8F8U5kaTbDNgJIc/yDHhV8ssR&#10;1R8AAAD//wMAUEsBAi0AFAAGAAgAAAAhALaDOJL+AAAA4QEAABMAAAAAAAAAAAAAAAAAAAAAAFtD&#10;b250ZW50X1R5cGVzXS54bWxQSwECLQAUAAYACAAAACEAOP0h/9YAAACUAQAACwAAAAAAAAAAAAAA&#10;AAAvAQAAX3JlbHMvLnJlbHNQSwECLQAUAAYACAAAACEAluABQmsCAADDBAAADgAAAAAAAAAAAAAA&#10;AAAuAgAAZHJzL2Uyb0RvYy54bWxQSwECLQAUAAYACAAAACEAT5XG1+EAAAAMAQAADwAAAAAAAAAA&#10;AAAAAADFBAAAZHJzL2Rvd25yZXYueG1sUEsFBgAAAAAEAAQA8wAAANMFAAAAAA==&#10;" filled="f" stroked="f">
                <v:path arrowok="t"/>
                <v:textbox>
                  <w:txbxContent>
                    <w:p w:rsidR="008C4954" w:rsidRDefault="008C4954"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NFORME</w:t>
                      </w:r>
                      <w:r w:rsidR="00EF5E02">
                        <w:rPr>
                          <w:rFonts w:ascii="Futura Std Bold" w:hAnsi="Futura Std Bold"/>
                          <w:color w:val="FFFFFF"/>
                          <w:sz w:val="32"/>
                          <w:szCs w:val="32"/>
                        </w:rPr>
                        <w:t xml:space="preserve"> </w:t>
                      </w:r>
                      <w:r w:rsidR="0034703B">
                        <w:rPr>
                          <w:rFonts w:ascii="Futura Std Bold" w:hAnsi="Futura Std Bold"/>
                          <w:color w:val="FFFFFF"/>
                          <w:sz w:val="32"/>
                          <w:szCs w:val="32"/>
                        </w:rPr>
                        <w:t>DE</w:t>
                      </w:r>
                      <w:r w:rsidRPr="00AC735A">
                        <w:rPr>
                          <w:rFonts w:ascii="Futura Std Bold" w:hAnsi="Futura Std Bold"/>
                          <w:color w:val="FFFFFF"/>
                          <w:sz w:val="32"/>
                          <w:szCs w:val="32"/>
                        </w:rPr>
                        <w:t xml:space="preserve"> </w:t>
                      </w:r>
                      <w:r>
                        <w:rPr>
                          <w:rFonts w:ascii="Futura Std Bold" w:hAnsi="Futura Std Bold"/>
                          <w:color w:val="FFFFFF"/>
                          <w:sz w:val="32"/>
                          <w:szCs w:val="32"/>
                        </w:rPr>
                        <w:t>SEGUIMIENTO</w:t>
                      </w:r>
                      <w:r w:rsidR="0034703B">
                        <w:rPr>
                          <w:rFonts w:ascii="Futura Std Bold" w:hAnsi="Futura Std Bold"/>
                          <w:color w:val="FFFFFF"/>
                          <w:sz w:val="32"/>
                          <w:szCs w:val="32"/>
                        </w:rPr>
                        <w:t xml:space="preserve"> AL</w:t>
                      </w:r>
                      <w:r>
                        <w:rPr>
                          <w:rFonts w:ascii="Futura Std Bold" w:hAnsi="Futura Std Bold"/>
                          <w:color w:val="FFFFFF"/>
                          <w:sz w:val="32"/>
                          <w:szCs w:val="32"/>
                        </w:rPr>
                        <w:t xml:space="preserve"> COMITÉ DE CONCILIACIÓN</w:t>
                      </w:r>
                      <w:r w:rsidR="003B5E8C">
                        <w:rPr>
                          <w:rFonts w:ascii="Futura Std Bold" w:hAnsi="Futura Std Bold"/>
                          <w:color w:val="FFFFFF"/>
                          <w:sz w:val="32"/>
                          <w:szCs w:val="32"/>
                        </w:rPr>
                        <w:t xml:space="preserve"> Y DEFENSA JUDICIAL</w:t>
                      </w:r>
                      <w:r>
                        <w:rPr>
                          <w:rFonts w:ascii="Futura Std Bold" w:hAnsi="Futura Std Bold"/>
                          <w:color w:val="FFFFFF"/>
                          <w:sz w:val="32"/>
                          <w:szCs w:val="32"/>
                        </w:rPr>
                        <w:t xml:space="preserve"> </w:t>
                      </w:r>
                    </w:p>
                    <w:p w:rsidR="008C4954" w:rsidRDefault="008C4954"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683411">
                        <w:rPr>
                          <w:rFonts w:ascii="Futura Std Bold" w:hAnsi="Futura Std Bold"/>
                          <w:color w:val="FFFFFF"/>
                          <w:sz w:val="32"/>
                          <w:szCs w:val="32"/>
                        </w:rPr>
                        <w:t>Diciembre</w:t>
                      </w:r>
                      <w:r>
                        <w:rPr>
                          <w:rFonts w:ascii="Futura Std Bold" w:hAnsi="Futura Std Bold"/>
                          <w:color w:val="FFFFFF"/>
                          <w:sz w:val="32"/>
                          <w:szCs w:val="32"/>
                        </w:rPr>
                        <w:t xml:space="preserve"> de 2016</w:t>
                      </w:r>
                    </w:p>
                    <w:p w:rsidR="008C4954" w:rsidRPr="007B4F82" w:rsidRDefault="008C4954"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7D415C63" wp14:editId="4F822D30">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8C4954" w:rsidRPr="007B4F82" w:rsidRDefault="008C4954"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F1130E">
                              <w:rPr>
                                <w:rFonts w:ascii="Futura Std Book" w:hAnsi="Futura Std Book"/>
                                <w:color w:val="7F7F7F"/>
                              </w:rPr>
                              <w:t xml:space="preserve">Junio </w:t>
                            </w:r>
                            <w:r>
                              <w:rPr>
                                <w:rFonts w:ascii="Futura Std Book" w:hAnsi="Futura Std Book"/>
                                <w:color w:val="7F7F7F"/>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415C63"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8C4954" w:rsidRPr="007B4F82" w:rsidRDefault="008C4954"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F1130E">
                        <w:rPr>
                          <w:rFonts w:ascii="Futura Std Book" w:hAnsi="Futura Std Book"/>
                          <w:color w:val="7F7F7F"/>
                        </w:rPr>
                        <w:t xml:space="preserve">Junio </w:t>
                      </w:r>
                      <w:r>
                        <w:rPr>
                          <w:rFonts w:ascii="Futura Std Book" w:hAnsi="Futura Std Book"/>
                          <w:color w:val="7F7F7F"/>
                        </w:rPr>
                        <w:t>2017</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14:anchorId="500C6194" wp14:editId="06084E20">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14:anchorId="07A9CF8F" wp14:editId="188C61B1">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8C4954" w:rsidRPr="007B4F82" w:rsidRDefault="008C4954" w:rsidP="00F616AD">
                            <w:pPr>
                              <w:jc w:val="right"/>
                              <w:rPr>
                                <w:rFonts w:ascii="Futura Std Book" w:hAnsi="Futura Std Book"/>
                                <w:color w:val="7F7F7F"/>
                                <w:sz w:val="36"/>
                                <w:szCs w:val="36"/>
                              </w:rPr>
                            </w:pPr>
                          </w:p>
                          <w:p w:rsidR="008C4954" w:rsidRPr="007B4F82" w:rsidRDefault="008C4954"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A9CF8F"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8C4954" w:rsidRPr="007B4F82" w:rsidRDefault="008C4954" w:rsidP="00F616AD">
                      <w:pPr>
                        <w:jc w:val="right"/>
                        <w:rPr>
                          <w:rFonts w:ascii="Futura Std Book" w:hAnsi="Futura Std Book"/>
                          <w:color w:val="7F7F7F"/>
                          <w:sz w:val="36"/>
                          <w:szCs w:val="36"/>
                        </w:rPr>
                      </w:pPr>
                    </w:p>
                    <w:p w:rsidR="008C4954" w:rsidRPr="007B4F82" w:rsidRDefault="008C4954"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8D1241" w:rsidRPr="001163A1" w:rsidRDefault="00BF5F4D" w:rsidP="00BF5F4D">
      <w:pPr>
        <w:jc w:val="center"/>
        <w:rPr>
          <w:rFonts w:ascii="Arial" w:hAnsi="Arial" w:cs="Arial"/>
          <w:b/>
        </w:rPr>
      </w:pPr>
      <w:r w:rsidRPr="001163A1">
        <w:rPr>
          <w:rFonts w:ascii="Arial" w:hAnsi="Arial" w:cs="Arial"/>
          <w:b/>
        </w:rPr>
        <w:lastRenderedPageBreak/>
        <w:t xml:space="preserve">SEGUIMIENTO COMITÉ DE CONCILIACIÓN Y DEFENSA JUDICIAL </w:t>
      </w:r>
    </w:p>
    <w:p w:rsidR="00BF5F4D" w:rsidRPr="001163A1" w:rsidRDefault="00BF5F4D" w:rsidP="00BF5F4D">
      <w:pPr>
        <w:jc w:val="center"/>
        <w:rPr>
          <w:rFonts w:ascii="Arial" w:hAnsi="Arial" w:cs="Arial"/>
          <w:b/>
        </w:rPr>
      </w:pPr>
      <w:r w:rsidRPr="001163A1">
        <w:rPr>
          <w:rFonts w:ascii="Arial" w:hAnsi="Arial" w:cs="Arial"/>
          <w:b/>
        </w:rPr>
        <w:t>PERIODO ENERO - DICIEMBRE DE 201</w:t>
      </w:r>
      <w:r w:rsidR="001C4D9B" w:rsidRPr="001163A1">
        <w:rPr>
          <w:rFonts w:ascii="Arial" w:hAnsi="Arial" w:cs="Arial"/>
          <w:b/>
        </w:rPr>
        <w:t>6</w:t>
      </w:r>
    </w:p>
    <w:p w:rsidR="001C4D9B" w:rsidRPr="001163A1" w:rsidRDefault="001C4D9B" w:rsidP="00BF5F4D">
      <w:pPr>
        <w:jc w:val="both"/>
        <w:rPr>
          <w:rFonts w:ascii="Arial" w:hAnsi="Arial" w:cs="Arial"/>
        </w:rPr>
      </w:pPr>
    </w:p>
    <w:p w:rsidR="00162366" w:rsidRPr="001163A1" w:rsidRDefault="00162366" w:rsidP="001C4D9B">
      <w:pPr>
        <w:jc w:val="both"/>
        <w:rPr>
          <w:rFonts w:ascii="Arial" w:hAnsi="Arial" w:cs="Arial"/>
        </w:rPr>
      </w:pPr>
      <w:r w:rsidRPr="001163A1">
        <w:rPr>
          <w:rFonts w:ascii="Arial" w:hAnsi="Arial" w:cs="Arial"/>
        </w:rPr>
        <w:t xml:space="preserve">El Proceso de Evaluación Independiente hace parte </w:t>
      </w:r>
      <w:r w:rsidR="00F43B6E" w:rsidRPr="001163A1">
        <w:rPr>
          <w:rFonts w:ascii="Arial" w:hAnsi="Arial" w:cs="Arial"/>
        </w:rPr>
        <w:t>fundamental de la gestión</w:t>
      </w:r>
      <w:r w:rsidRPr="001163A1">
        <w:rPr>
          <w:rFonts w:ascii="Arial" w:hAnsi="Arial" w:cs="Arial"/>
        </w:rPr>
        <w:t xml:space="preserve"> </w:t>
      </w:r>
      <w:r w:rsidR="005712C3" w:rsidRPr="001163A1">
        <w:rPr>
          <w:rFonts w:ascii="Arial" w:hAnsi="Arial" w:cs="Arial"/>
        </w:rPr>
        <w:t xml:space="preserve">de </w:t>
      </w:r>
      <w:r w:rsidRPr="001163A1">
        <w:rPr>
          <w:rFonts w:ascii="Arial" w:hAnsi="Arial" w:cs="Arial"/>
        </w:rPr>
        <w:t>la Función Pública, pues evalúa la labor desarrollada dentro de cada uno de los proces</w:t>
      </w:r>
      <w:r w:rsidR="00F43B6E" w:rsidRPr="001163A1">
        <w:rPr>
          <w:rFonts w:ascii="Arial" w:hAnsi="Arial" w:cs="Arial"/>
        </w:rPr>
        <w:t>os y procedimientos establecidos en el Sistema de Gestión de Calidad</w:t>
      </w:r>
      <w:r w:rsidRPr="001163A1">
        <w:rPr>
          <w:rFonts w:ascii="Arial" w:hAnsi="Arial" w:cs="Arial"/>
        </w:rPr>
        <w:t xml:space="preserve">, buscando </w:t>
      </w:r>
      <w:r w:rsidR="00560C48" w:rsidRPr="001163A1">
        <w:rPr>
          <w:rFonts w:ascii="Arial" w:hAnsi="Arial" w:cs="Arial"/>
        </w:rPr>
        <w:t xml:space="preserve"> la mejora continua en </w:t>
      </w:r>
      <w:r w:rsidRPr="001163A1">
        <w:rPr>
          <w:rFonts w:ascii="Arial" w:hAnsi="Arial" w:cs="Arial"/>
        </w:rPr>
        <w:t xml:space="preserve">el desempeño de los mismos, de esta manera, el Sistema de Control Interno </w:t>
      </w:r>
      <w:r w:rsidR="00AC648A" w:rsidRPr="001163A1">
        <w:rPr>
          <w:rFonts w:ascii="Arial" w:hAnsi="Arial" w:cs="Arial"/>
        </w:rPr>
        <w:t>dispuesto</w:t>
      </w:r>
      <w:r w:rsidRPr="001163A1">
        <w:rPr>
          <w:rFonts w:ascii="Arial" w:hAnsi="Arial" w:cs="Arial"/>
        </w:rPr>
        <w:t xml:space="preserve"> por la Ley 87 de 1993 mediante la cual se </w:t>
      </w:r>
      <w:r w:rsidRPr="001163A1">
        <w:rPr>
          <w:rFonts w:ascii="Arial" w:hAnsi="Arial" w:cs="Arial"/>
          <w:i/>
        </w:rPr>
        <w:t>“Establecen normas para el ejercicio del control interno de las entidades y organismos del estado…”,</w:t>
      </w:r>
      <w:r w:rsidR="00F6503B">
        <w:rPr>
          <w:rFonts w:ascii="Arial" w:hAnsi="Arial" w:cs="Arial"/>
        </w:rPr>
        <w:t xml:space="preserve"> </w:t>
      </w:r>
      <w:r w:rsidRPr="001163A1">
        <w:rPr>
          <w:rFonts w:ascii="Arial" w:hAnsi="Arial" w:cs="Arial"/>
        </w:rPr>
        <w:t>y materializado a través del Modelo Estándar de Control Interno, tiene como uno de sus elementos de control, la evaluación independiente a los procesos de la entidad, a fin de presentar información útil al representante legal sobre los resultados de dicha evaluación, para que se tomen las acciones correctivas o preventivas a que haya lugar, y de esta manera, contribuir a la mejora continua de la gestión institucional</w:t>
      </w:r>
      <w:r w:rsidR="00F43B6E" w:rsidRPr="001163A1">
        <w:rPr>
          <w:rFonts w:ascii="Arial" w:hAnsi="Arial" w:cs="Arial"/>
        </w:rPr>
        <w:t xml:space="preserve">. </w:t>
      </w:r>
    </w:p>
    <w:p w:rsidR="001C4D9B" w:rsidRPr="001163A1" w:rsidRDefault="00F43B6E" w:rsidP="00F43B6E">
      <w:pPr>
        <w:jc w:val="both"/>
        <w:rPr>
          <w:rFonts w:ascii="Arial" w:hAnsi="Arial" w:cs="Arial"/>
        </w:rPr>
      </w:pPr>
      <w:r w:rsidRPr="001163A1">
        <w:rPr>
          <w:rFonts w:ascii="Arial" w:hAnsi="Arial" w:cs="Arial"/>
        </w:rPr>
        <w:t>La Oficina de Control Interno</w:t>
      </w:r>
      <w:r w:rsidR="00162366" w:rsidRPr="001163A1">
        <w:rPr>
          <w:rFonts w:ascii="Arial" w:hAnsi="Arial" w:cs="Arial"/>
        </w:rPr>
        <w:t xml:space="preserve">, en cumplimiento </w:t>
      </w:r>
      <w:r w:rsidRPr="001163A1">
        <w:rPr>
          <w:rFonts w:ascii="Arial" w:hAnsi="Arial" w:cs="Arial"/>
        </w:rPr>
        <w:t xml:space="preserve">de lo dispuesto en el artículo </w:t>
      </w:r>
      <w:r w:rsidR="00FD0EA0" w:rsidRPr="001163A1">
        <w:rPr>
          <w:rFonts w:ascii="Arial" w:hAnsi="Arial" w:cs="Arial"/>
        </w:rPr>
        <w:t>2.2.4.3.1.2.1. y s.s., s</w:t>
      </w:r>
      <w:r w:rsidRPr="001163A1">
        <w:rPr>
          <w:rFonts w:ascii="Arial" w:hAnsi="Arial" w:cs="Arial"/>
        </w:rPr>
        <w:t xml:space="preserve">ubsección 2 capítulo 3 del Decreto Único Reglamentario 1069 de </w:t>
      </w:r>
      <w:r w:rsidR="00C00CD9" w:rsidRPr="001163A1">
        <w:rPr>
          <w:rFonts w:ascii="Arial" w:hAnsi="Arial" w:cs="Arial"/>
        </w:rPr>
        <w:t>2015 del</w:t>
      </w:r>
      <w:r w:rsidR="005712C3" w:rsidRPr="001163A1">
        <w:rPr>
          <w:rFonts w:ascii="Arial" w:hAnsi="Arial" w:cs="Arial"/>
        </w:rPr>
        <w:t xml:space="preserve"> Ministerio</w:t>
      </w:r>
      <w:r w:rsidR="00C00CD9" w:rsidRPr="001163A1">
        <w:rPr>
          <w:rFonts w:ascii="Arial" w:hAnsi="Arial" w:cs="Arial"/>
        </w:rPr>
        <w:t xml:space="preserve"> de Justicia y del Derecho</w:t>
      </w:r>
      <w:r w:rsidRPr="001163A1">
        <w:rPr>
          <w:rFonts w:ascii="Arial" w:hAnsi="Arial" w:cs="Arial"/>
        </w:rPr>
        <w:t>,</w:t>
      </w:r>
      <w:r w:rsidR="00742776" w:rsidRPr="001163A1">
        <w:rPr>
          <w:rFonts w:ascii="Arial" w:hAnsi="Arial" w:cs="Arial"/>
        </w:rPr>
        <w:t xml:space="preserve"> modificado parcialmente por el Decreto </w:t>
      </w:r>
      <w:r w:rsidR="00742776" w:rsidRPr="001163A1">
        <w:rPr>
          <w:rFonts w:ascii="Arial" w:hAnsi="Arial" w:cs="Arial"/>
          <w:bCs/>
          <w:color w:val="000000"/>
          <w:shd w:val="clear" w:color="auto" w:fill="FFFFFF"/>
          <w:lang w:val="es-MX"/>
        </w:rPr>
        <w:t>1167 de 2016</w:t>
      </w:r>
      <w:r w:rsidR="00C00CD9" w:rsidRPr="001163A1">
        <w:rPr>
          <w:rFonts w:ascii="Arial" w:hAnsi="Arial" w:cs="Arial"/>
          <w:bCs/>
          <w:color w:val="000000"/>
          <w:shd w:val="clear" w:color="auto" w:fill="FFFFFF"/>
          <w:lang w:val="es-MX"/>
        </w:rPr>
        <w:t xml:space="preserve">; </w:t>
      </w:r>
      <w:r w:rsidR="00C00CD9" w:rsidRPr="001163A1">
        <w:rPr>
          <w:rFonts w:ascii="Arial" w:hAnsi="Arial" w:cs="Arial"/>
        </w:rPr>
        <w:t>presenta</w:t>
      </w:r>
      <w:r w:rsidRPr="001163A1">
        <w:rPr>
          <w:rFonts w:ascii="Arial" w:hAnsi="Arial" w:cs="Arial"/>
        </w:rPr>
        <w:t xml:space="preserve"> los </w:t>
      </w:r>
      <w:r w:rsidR="00346CF9" w:rsidRPr="001163A1">
        <w:rPr>
          <w:rFonts w:ascii="Arial" w:hAnsi="Arial" w:cs="Arial"/>
        </w:rPr>
        <w:t>resultados del</w:t>
      </w:r>
      <w:r w:rsidRPr="001163A1">
        <w:rPr>
          <w:rFonts w:ascii="Arial" w:hAnsi="Arial" w:cs="Arial"/>
        </w:rPr>
        <w:t xml:space="preserve"> seguimiento al Comité de Conciliación y Defensa Judicial, durante el periodo comprendido </w:t>
      </w:r>
      <w:r w:rsidR="00C00CD9" w:rsidRPr="001163A1">
        <w:rPr>
          <w:rFonts w:ascii="Arial" w:hAnsi="Arial" w:cs="Arial"/>
        </w:rPr>
        <w:t>enero</w:t>
      </w:r>
      <w:r w:rsidRPr="001163A1">
        <w:rPr>
          <w:rFonts w:ascii="Arial" w:hAnsi="Arial" w:cs="Arial"/>
        </w:rPr>
        <w:t xml:space="preserve"> </w:t>
      </w:r>
      <w:r w:rsidR="005712C3" w:rsidRPr="001163A1">
        <w:rPr>
          <w:rFonts w:ascii="Arial" w:hAnsi="Arial" w:cs="Arial"/>
        </w:rPr>
        <w:t>-</w:t>
      </w:r>
      <w:r w:rsidR="00F6503B">
        <w:rPr>
          <w:rFonts w:ascii="Arial" w:hAnsi="Arial" w:cs="Arial"/>
        </w:rPr>
        <w:t xml:space="preserve"> diciembre de 2016. </w:t>
      </w:r>
    </w:p>
    <w:p w:rsidR="005114BF" w:rsidRPr="001163A1" w:rsidRDefault="00F43B6E" w:rsidP="00AB3785">
      <w:pPr>
        <w:jc w:val="both"/>
        <w:rPr>
          <w:rFonts w:ascii="Arial" w:hAnsi="Arial" w:cs="Arial"/>
        </w:rPr>
      </w:pPr>
      <w:r w:rsidRPr="001163A1">
        <w:rPr>
          <w:rFonts w:ascii="Arial" w:hAnsi="Arial" w:cs="Arial"/>
        </w:rPr>
        <w:t xml:space="preserve">El objetivo de este seguimiento es </w:t>
      </w:r>
      <w:r w:rsidR="00346CF9" w:rsidRPr="001163A1">
        <w:rPr>
          <w:rFonts w:ascii="Arial" w:hAnsi="Arial" w:cs="Arial"/>
        </w:rPr>
        <w:t>verificar que</w:t>
      </w:r>
      <w:r w:rsidRPr="001163A1">
        <w:rPr>
          <w:rFonts w:ascii="Arial" w:hAnsi="Arial" w:cs="Arial"/>
        </w:rPr>
        <w:t xml:space="preserve"> el Comité de Conciliación esté </w:t>
      </w:r>
      <w:r w:rsidR="00630812" w:rsidRPr="001163A1">
        <w:rPr>
          <w:rFonts w:ascii="Arial" w:hAnsi="Arial" w:cs="Arial"/>
        </w:rPr>
        <w:t>cumpliendo</w:t>
      </w:r>
      <w:r w:rsidR="00F8450A" w:rsidRPr="001163A1">
        <w:rPr>
          <w:rFonts w:ascii="Arial" w:hAnsi="Arial" w:cs="Arial"/>
        </w:rPr>
        <w:t xml:space="preserve"> con las obligaciones</w:t>
      </w:r>
      <w:r w:rsidRPr="001163A1">
        <w:rPr>
          <w:rFonts w:ascii="Arial" w:hAnsi="Arial" w:cs="Arial"/>
        </w:rPr>
        <w:t xml:space="preserve"> </w:t>
      </w:r>
      <w:r w:rsidR="00F8450A" w:rsidRPr="001163A1">
        <w:rPr>
          <w:rFonts w:ascii="Arial" w:hAnsi="Arial" w:cs="Arial"/>
        </w:rPr>
        <w:t>y funciones encomendadas</w:t>
      </w:r>
      <w:r w:rsidR="00742776" w:rsidRPr="001163A1">
        <w:rPr>
          <w:rFonts w:ascii="Arial" w:hAnsi="Arial" w:cs="Arial"/>
        </w:rPr>
        <w:t xml:space="preserve"> en la normatividad</w:t>
      </w:r>
      <w:r w:rsidR="00F8450A" w:rsidRPr="001163A1">
        <w:rPr>
          <w:rFonts w:ascii="Arial" w:hAnsi="Arial" w:cs="Arial"/>
        </w:rPr>
        <w:t xml:space="preserve"> vigente</w:t>
      </w:r>
      <w:r w:rsidR="00AB3785" w:rsidRPr="001163A1">
        <w:rPr>
          <w:rFonts w:ascii="Arial" w:hAnsi="Arial" w:cs="Arial"/>
        </w:rPr>
        <w:t>.</w:t>
      </w:r>
      <w:r w:rsidR="00C00CD9" w:rsidRPr="001163A1">
        <w:rPr>
          <w:rFonts w:ascii="Arial" w:hAnsi="Arial" w:cs="Arial"/>
        </w:rPr>
        <w:t xml:space="preserve"> Se analizarán los siguientes aspectos en el presente informe</w:t>
      </w:r>
      <w:r w:rsidR="00742776" w:rsidRPr="001163A1">
        <w:rPr>
          <w:rFonts w:ascii="Arial" w:hAnsi="Arial" w:cs="Arial"/>
        </w:rPr>
        <w:t>:</w:t>
      </w:r>
    </w:p>
    <w:p w:rsidR="0024537B" w:rsidRPr="001163A1" w:rsidRDefault="00742776" w:rsidP="00676D93">
      <w:pPr>
        <w:numPr>
          <w:ilvl w:val="0"/>
          <w:numId w:val="6"/>
        </w:numPr>
        <w:jc w:val="both"/>
        <w:rPr>
          <w:rFonts w:ascii="Arial" w:hAnsi="Arial" w:cs="Arial"/>
        </w:rPr>
      </w:pPr>
      <w:r w:rsidRPr="001163A1">
        <w:rPr>
          <w:rFonts w:ascii="Arial" w:hAnsi="Arial" w:cs="Arial"/>
        </w:rPr>
        <w:t xml:space="preserve">Oportunidad de la acción de repetición </w:t>
      </w:r>
      <w:r w:rsidR="00676D93" w:rsidRPr="001163A1">
        <w:rPr>
          <w:rFonts w:ascii="Arial" w:hAnsi="Arial" w:cs="Arial"/>
        </w:rPr>
        <w:t>(Art. 2.2.4.3.1.2.12 del Decreto 1069 de 2015</w:t>
      </w:r>
      <w:r w:rsidR="00AF73AA" w:rsidRPr="001163A1">
        <w:rPr>
          <w:rFonts w:ascii="Arial" w:hAnsi="Arial" w:cs="Arial"/>
        </w:rPr>
        <w:t>, modificado por artículo 3 del Decreto 1167 de 2016</w:t>
      </w:r>
      <w:r w:rsidR="00676D93" w:rsidRPr="001163A1">
        <w:rPr>
          <w:rFonts w:ascii="Arial" w:hAnsi="Arial" w:cs="Arial"/>
        </w:rPr>
        <w:t>)</w:t>
      </w:r>
      <w:r w:rsidR="00FD1B23" w:rsidRPr="001163A1">
        <w:rPr>
          <w:rFonts w:ascii="Arial" w:hAnsi="Arial" w:cs="Arial"/>
        </w:rPr>
        <w:t>.</w:t>
      </w:r>
      <w:r w:rsidR="00531B72" w:rsidRPr="001163A1">
        <w:rPr>
          <w:rFonts w:ascii="Arial" w:hAnsi="Arial" w:cs="Arial"/>
        </w:rPr>
        <w:t xml:space="preserve"> </w:t>
      </w:r>
    </w:p>
    <w:p w:rsidR="00F43B6E" w:rsidRPr="001163A1" w:rsidRDefault="00742776" w:rsidP="00D132C5">
      <w:pPr>
        <w:numPr>
          <w:ilvl w:val="0"/>
          <w:numId w:val="6"/>
        </w:numPr>
        <w:jc w:val="both"/>
        <w:rPr>
          <w:rFonts w:ascii="Arial" w:hAnsi="Arial" w:cs="Arial"/>
        </w:rPr>
      </w:pPr>
      <w:r w:rsidRPr="001163A1">
        <w:rPr>
          <w:rFonts w:ascii="Arial" w:hAnsi="Arial" w:cs="Arial"/>
        </w:rPr>
        <w:t xml:space="preserve">Periodicidad de las reuniones del Comité (Art. </w:t>
      </w:r>
      <w:r w:rsidR="00346CF9" w:rsidRPr="001163A1">
        <w:rPr>
          <w:rFonts w:ascii="Arial" w:hAnsi="Arial" w:cs="Arial"/>
        </w:rPr>
        <w:t>2.2.4.3.1.2.4 Decreto</w:t>
      </w:r>
      <w:r w:rsidR="0024537B" w:rsidRPr="001163A1">
        <w:rPr>
          <w:rFonts w:ascii="Arial" w:hAnsi="Arial" w:cs="Arial"/>
        </w:rPr>
        <w:t>. 1069 de 20</w:t>
      </w:r>
      <w:r w:rsidRPr="001163A1">
        <w:rPr>
          <w:rFonts w:ascii="Arial" w:hAnsi="Arial" w:cs="Arial"/>
        </w:rPr>
        <w:t>15</w:t>
      </w:r>
      <w:r w:rsidR="007B5665" w:rsidRPr="001163A1">
        <w:rPr>
          <w:rFonts w:ascii="Arial" w:hAnsi="Arial" w:cs="Arial"/>
        </w:rPr>
        <w:t>)</w:t>
      </w:r>
      <w:r w:rsidR="00FD1B23" w:rsidRPr="001163A1">
        <w:rPr>
          <w:rFonts w:ascii="Arial" w:hAnsi="Arial" w:cs="Arial"/>
        </w:rPr>
        <w:t>.</w:t>
      </w:r>
    </w:p>
    <w:p w:rsidR="00F43B6E" w:rsidRPr="001163A1" w:rsidRDefault="00742776" w:rsidP="007B5665">
      <w:pPr>
        <w:numPr>
          <w:ilvl w:val="0"/>
          <w:numId w:val="6"/>
        </w:numPr>
        <w:jc w:val="both"/>
        <w:rPr>
          <w:rFonts w:ascii="Arial" w:hAnsi="Arial" w:cs="Arial"/>
        </w:rPr>
      </w:pPr>
      <w:r w:rsidRPr="001163A1">
        <w:rPr>
          <w:rFonts w:ascii="Arial" w:hAnsi="Arial" w:cs="Arial"/>
        </w:rPr>
        <w:t>Funciones del Comité de Conciliación (</w:t>
      </w:r>
      <w:r w:rsidR="0024537B" w:rsidRPr="001163A1">
        <w:rPr>
          <w:rFonts w:ascii="Arial" w:hAnsi="Arial" w:cs="Arial"/>
        </w:rPr>
        <w:t xml:space="preserve">Art. </w:t>
      </w:r>
      <w:r w:rsidR="00346CF9" w:rsidRPr="001163A1">
        <w:rPr>
          <w:rFonts w:ascii="Arial" w:hAnsi="Arial" w:cs="Arial"/>
        </w:rPr>
        <w:t>2.2.4.3.1.2.5 Decreto</w:t>
      </w:r>
      <w:r w:rsidR="007B5665" w:rsidRPr="001163A1">
        <w:rPr>
          <w:rFonts w:ascii="Arial" w:hAnsi="Arial" w:cs="Arial"/>
        </w:rPr>
        <w:t>. 1069</w:t>
      </w:r>
      <w:r w:rsidR="0024537B" w:rsidRPr="001163A1">
        <w:rPr>
          <w:rFonts w:ascii="Arial" w:hAnsi="Arial" w:cs="Arial"/>
        </w:rPr>
        <w:t xml:space="preserve"> de 20</w:t>
      </w:r>
      <w:r w:rsidR="007B5665" w:rsidRPr="001163A1">
        <w:rPr>
          <w:rFonts w:ascii="Arial" w:hAnsi="Arial" w:cs="Arial"/>
        </w:rPr>
        <w:t>15</w:t>
      </w:r>
      <w:r w:rsidR="008C4954" w:rsidRPr="001163A1">
        <w:rPr>
          <w:rFonts w:ascii="Arial" w:hAnsi="Arial" w:cs="Arial"/>
        </w:rPr>
        <w:t>)</w:t>
      </w:r>
      <w:r w:rsidR="00FD1B23" w:rsidRPr="001163A1">
        <w:rPr>
          <w:rFonts w:ascii="Arial" w:hAnsi="Arial" w:cs="Arial"/>
        </w:rPr>
        <w:t>.</w:t>
      </w:r>
    </w:p>
    <w:p w:rsidR="005219C9" w:rsidRPr="001163A1" w:rsidRDefault="007B5665" w:rsidP="005219C9">
      <w:pPr>
        <w:pStyle w:val="Prrafodelista"/>
        <w:numPr>
          <w:ilvl w:val="0"/>
          <w:numId w:val="6"/>
        </w:numPr>
        <w:rPr>
          <w:rFonts w:ascii="Arial" w:hAnsi="Arial" w:cs="Arial"/>
        </w:rPr>
      </w:pPr>
      <w:r w:rsidRPr="001163A1">
        <w:rPr>
          <w:rFonts w:ascii="Arial" w:hAnsi="Arial" w:cs="Arial"/>
        </w:rPr>
        <w:t xml:space="preserve">Funciones del Secretario del Comité </w:t>
      </w:r>
      <w:r w:rsidR="005219C9" w:rsidRPr="001163A1">
        <w:rPr>
          <w:rFonts w:ascii="Arial" w:hAnsi="Arial" w:cs="Arial"/>
        </w:rPr>
        <w:t>(Art. 2.2.4.3.1.2.6</w:t>
      </w:r>
      <w:r w:rsidR="0024537B" w:rsidRPr="001163A1">
        <w:rPr>
          <w:rFonts w:ascii="Arial" w:hAnsi="Arial" w:cs="Arial"/>
        </w:rPr>
        <w:t xml:space="preserve"> </w:t>
      </w:r>
      <w:r w:rsidR="005219C9" w:rsidRPr="001163A1">
        <w:rPr>
          <w:rFonts w:ascii="Arial" w:hAnsi="Arial" w:cs="Arial"/>
        </w:rPr>
        <w:t>Decre</w:t>
      </w:r>
      <w:r w:rsidR="0024537B" w:rsidRPr="001163A1">
        <w:rPr>
          <w:rFonts w:ascii="Arial" w:hAnsi="Arial" w:cs="Arial"/>
        </w:rPr>
        <w:t>to. 1069 de 2015)</w:t>
      </w:r>
      <w:r w:rsidR="00FD1B23" w:rsidRPr="001163A1">
        <w:rPr>
          <w:rFonts w:ascii="Arial" w:hAnsi="Arial" w:cs="Arial"/>
        </w:rPr>
        <w:t>.</w:t>
      </w:r>
    </w:p>
    <w:p w:rsidR="00AB3785" w:rsidRPr="001163A1" w:rsidRDefault="00AB3785" w:rsidP="00AB3785">
      <w:pPr>
        <w:pStyle w:val="Prrafodelista"/>
        <w:rPr>
          <w:rFonts w:ascii="Arial" w:hAnsi="Arial" w:cs="Arial"/>
        </w:rPr>
      </w:pPr>
    </w:p>
    <w:p w:rsidR="00AB3785" w:rsidRPr="001163A1" w:rsidRDefault="00AB3785" w:rsidP="00AB3785">
      <w:pPr>
        <w:pStyle w:val="Prrafodelista"/>
        <w:rPr>
          <w:rFonts w:ascii="Arial" w:hAnsi="Arial" w:cs="Arial"/>
        </w:rPr>
      </w:pPr>
    </w:p>
    <w:p w:rsidR="00BF5F4D" w:rsidRPr="001163A1" w:rsidRDefault="00BF5F4D" w:rsidP="00FD0EA0">
      <w:pPr>
        <w:pStyle w:val="Prrafodelista"/>
        <w:numPr>
          <w:ilvl w:val="0"/>
          <w:numId w:val="11"/>
        </w:numPr>
        <w:jc w:val="both"/>
        <w:rPr>
          <w:rFonts w:ascii="Arial" w:hAnsi="Arial" w:cs="Arial"/>
          <w:b/>
        </w:rPr>
      </w:pPr>
      <w:r w:rsidRPr="001163A1">
        <w:rPr>
          <w:rFonts w:ascii="Arial" w:hAnsi="Arial" w:cs="Arial"/>
          <w:b/>
        </w:rPr>
        <w:t>Oportunidad de la acción de repetición</w:t>
      </w:r>
    </w:p>
    <w:p w:rsidR="003A1AC8" w:rsidRPr="001163A1" w:rsidRDefault="003A1AC8" w:rsidP="003A1AC8">
      <w:pPr>
        <w:pStyle w:val="Prrafodelista"/>
        <w:jc w:val="both"/>
        <w:rPr>
          <w:rFonts w:ascii="Arial" w:hAnsi="Arial" w:cs="Arial"/>
          <w:b/>
        </w:rPr>
      </w:pPr>
    </w:p>
    <w:p w:rsidR="005219C9" w:rsidRPr="001163A1" w:rsidRDefault="005219C9" w:rsidP="005219C9">
      <w:pPr>
        <w:jc w:val="both"/>
        <w:rPr>
          <w:rFonts w:ascii="Arial" w:hAnsi="Arial" w:cs="Arial"/>
        </w:rPr>
      </w:pPr>
      <w:r w:rsidRPr="001163A1">
        <w:rPr>
          <w:rFonts w:ascii="Arial" w:hAnsi="Arial" w:cs="Arial"/>
        </w:rPr>
        <w:t>El artículo 2.2.4.3.1.2.12 del Decreto 1069 de 2015, modificado por el artículo 3 del Decreto 1167 de 2016</w:t>
      </w:r>
      <w:r w:rsidR="00B82F25" w:rsidRPr="001163A1">
        <w:rPr>
          <w:rFonts w:ascii="Arial" w:hAnsi="Arial" w:cs="Arial"/>
        </w:rPr>
        <w:t>, establece: “</w:t>
      </w:r>
      <w:r w:rsidR="00B82F25" w:rsidRPr="001163A1">
        <w:rPr>
          <w:rFonts w:ascii="Arial" w:hAnsi="Arial" w:cs="Arial"/>
          <w:i/>
        </w:rPr>
        <w:t>De la acción de repetición.</w:t>
      </w:r>
      <w:r w:rsidR="00B82F25" w:rsidRPr="001163A1">
        <w:rPr>
          <w:rFonts w:ascii="Arial" w:hAnsi="Arial" w:cs="Arial"/>
        </w:rPr>
        <w:t xml:space="preserve"> Los Comités de Conciliación de las entidades públicas deberán realizar los estudios pertinentes para determinar la procedencia de la acción de repetición. Para ello, el ordenador del gasto, al día siguiente del pago total del capital de una condena, de una conciliación o de cualquier </w:t>
      </w:r>
      <w:r w:rsidR="00B82F25" w:rsidRPr="001163A1">
        <w:rPr>
          <w:rFonts w:ascii="Arial" w:hAnsi="Arial" w:cs="Arial"/>
        </w:rPr>
        <w:lastRenderedPageBreak/>
        <w:t>otro crédito surgido por concepto de la responsabilidad patrimonial de la entidad, deberá remitir el acto administrativo y sus antecedentes al Comité de Conciliación, para que en un término no superior a seis (6) meses se adopte la decisión motivada de iniciar o no el proceso de repetición y se presente la correspondiente demanda, cuando la misma resulte procedente, dentro de los tres (3) meses siguientes a la decisión.</w:t>
      </w:r>
      <w:r w:rsidR="009F1FAC" w:rsidRPr="001163A1">
        <w:rPr>
          <w:rFonts w:ascii="Arial" w:hAnsi="Arial" w:cs="Arial"/>
        </w:rPr>
        <w:t xml:space="preserve"> </w:t>
      </w:r>
      <w:r w:rsidR="009F1FAC" w:rsidRPr="001163A1">
        <w:rPr>
          <w:rFonts w:ascii="Arial" w:hAnsi="Arial" w:cs="Arial"/>
          <w:i/>
        </w:rPr>
        <w:t xml:space="preserve">Parágrafo. </w:t>
      </w:r>
      <w:r w:rsidR="00986A32" w:rsidRPr="001163A1">
        <w:rPr>
          <w:rFonts w:ascii="Arial" w:hAnsi="Arial" w:cs="Arial"/>
        </w:rPr>
        <w:t>La O</w:t>
      </w:r>
      <w:r w:rsidRPr="001163A1">
        <w:rPr>
          <w:rFonts w:ascii="Arial" w:hAnsi="Arial" w:cs="Arial"/>
        </w:rPr>
        <w:t xml:space="preserve">ficina de Control Interno de las entidades o quien haga sus veces, deberá verificar el cumplimiento de las obligaciones contenidas en este artículo.”  </w:t>
      </w:r>
    </w:p>
    <w:p w:rsidR="0024537B" w:rsidRPr="001163A1" w:rsidRDefault="003A1AC8" w:rsidP="005219C9">
      <w:pPr>
        <w:jc w:val="both"/>
        <w:rPr>
          <w:rFonts w:ascii="Arial" w:hAnsi="Arial" w:cs="Arial"/>
          <w:b/>
        </w:rPr>
      </w:pPr>
      <w:r w:rsidRPr="001163A1">
        <w:rPr>
          <w:rFonts w:ascii="Arial" w:hAnsi="Arial" w:cs="Arial"/>
        </w:rPr>
        <w:t>El Grupo de Defensa Jurídica</w:t>
      </w:r>
      <w:r w:rsidR="001A5720" w:rsidRPr="001163A1">
        <w:rPr>
          <w:rFonts w:ascii="Arial" w:hAnsi="Arial" w:cs="Arial"/>
        </w:rPr>
        <w:t xml:space="preserve"> de</w:t>
      </w:r>
      <w:r w:rsidR="000D17B7" w:rsidRPr="001163A1">
        <w:rPr>
          <w:rFonts w:ascii="Arial" w:hAnsi="Arial" w:cs="Arial"/>
        </w:rPr>
        <w:t xml:space="preserve">l Departamento señala </w:t>
      </w:r>
      <w:r w:rsidR="003E48FC" w:rsidRPr="001163A1">
        <w:rPr>
          <w:rFonts w:ascii="Arial" w:hAnsi="Arial" w:cs="Arial"/>
        </w:rPr>
        <w:t>que,</w:t>
      </w:r>
      <w:r w:rsidR="0003269F" w:rsidRPr="001163A1">
        <w:rPr>
          <w:rFonts w:ascii="Arial" w:hAnsi="Arial" w:cs="Arial"/>
        </w:rPr>
        <w:t xml:space="preserve"> durante el año 2016, no se presentaron casos que ameritaran</w:t>
      </w:r>
      <w:r w:rsidRPr="001163A1">
        <w:rPr>
          <w:rFonts w:ascii="Arial" w:hAnsi="Arial" w:cs="Arial"/>
        </w:rPr>
        <w:t xml:space="preserve"> gestionar acciones </w:t>
      </w:r>
      <w:r w:rsidR="00346CF9" w:rsidRPr="001163A1">
        <w:rPr>
          <w:rFonts w:ascii="Arial" w:hAnsi="Arial" w:cs="Arial"/>
        </w:rPr>
        <w:t>de repetición</w:t>
      </w:r>
      <w:r w:rsidRPr="001163A1">
        <w:rPr>
          <w:rFonts w:ascii="Arial" w:hAnsi="Arial" w:cs="Arial"/>
        </w:rPr>
        <w:t xml:space="preserve"> </w:t>
      </w:r>
      <w:r w:rsidR="003E48FC" w:rsidRPr="001163A1">
        <w:rPr>
          <w:rFonts w:ascii="Arial" w:hAnsi="Arial" w:cs="Arial"/>
        </w:rPr>
        <w:t>para estudio de</w:t>
      </w:r>
      <w:r w:rsidR="0003269F" w:rsidRPr="001163A1">
        <w:rPr>
          <w:rFonts w:ascii="Arial" w:hAnsi="Arial" w:cs="Arial"/>
        </w:rPr>
        <w:t>l Comité de Conciliación</w:t>
      </w:r>
      <w:r w:rsidR="00E33869" w:rsidRPr="001163A1">
        <w:rPr>
          <w:rFonts w:ascii="Arial" w:hAnsi="Arial" w:cs="Arial"/>
        </w:rPr>
        <w:t xml:space="preserve">, </w:t>
      </w:r>
      <w:r w:rsidR="003E48FC" w:rsidRPr="001163A1">
        <w:rPr>
          <w:rFonts w:ascii="Arial" w:hAnsi="Arial" w:cs="Arial"/>
        </w:rPr>
        <w:t xml:space="preserve">situación evidenciada con las </w:t>
      </w:r>
      <w:r w:rsidR="00E33869" w:rsidRPr="001163A1">
        <w:rPr>
          <w:rFonts w:ascii="Arial" w:hAnsi="Arial" w:cs="Arial"/>
        </w:rPr>
        <w:t xml:space="preserve">actas de las sesiones llevadas a cabo </w:t>
      </w:r>
      <w:r w:rsidR="003E48FC" w:rsidRPr="001163A1">
        <w:rPr>
          <w:rFonts w:ascii="Arial" w:hAnsi="Arial" w:cs="Arial"/>
        </w:rPr>
        <w:t>en la vigencia anterior.</w:t>
      </w:r>
      <w:r w:rsidR="003E48FC" w:rsidRPr="001163A1">
        <w:rPr>
          <w:rFonts w:ascii="Arial" w:hAnsi="Arial" w:cs="Arial"/>
          <w:b/>
        </w:rPr>
        <w:t xml:space="preserve"> </w:t>
      </w:r>
    </w:p>
    <w:p w:rsidR="00BB4854" w:rsidRPr="001163A1" w:rsidRDefault="0024537B" w:rsidP="00075E33">
      <w:pPr>
        <w:pStyle w:val="Prrafodelista"/>
        <w:numPr>
          <w:ilvl w:val="0"/>
          <w:numId w:val="11"/>
        </w:numPr>
        <w:jc w:val="both"/>
        <w:rPr>
          <w:rFonts w:ascii="Arial" w:hAnsi="Arial" w:cs="Arial"/>
        </w:rPr>
      </w:pPr>
      <w:r w:rsidRPr="001163A1">
        <w:rPr>
          <w:rFonts w:ascii="Arial" w:hAnsi="Arial" w:cs="Arial"/>
          <w:b/>
        </w:rPr>
        <w:t xml:space="preserve">Periodicidad de las reuniones del Comité </w:t>
      </w:r>
    </w:p>
    <w:p w:rsidR="00E33869" w:rsidRPr="001163A1" w:rsidRDefault="00E33869" w:rsidP="00EA20C9">
      <w:pPr>
        <w:jc w:val="both"/>
        <w:rPr>
          <w:rFonts w:ascii="Arial" w:hAnsi="Arial" w:cs="Arial"/>
        </w:rPr>
      </w:pPr>
      <w:r w:rsidRPr="001163A1">
        <w:rPr>
          <w:rFonts w:ascii="Arial" w:hAnsi="Arial" w:cs="Arial"/>
        </w:rPr>
        <w:t xml:space="preserve">Se establece en el artículo 2.2.4.3.1.2.4. del Decreto 1069 de 2015, la periodicidad de las reuniones del Comité de Conciliación, en la cual señala que </w:t>
      </w:r>
      <w:r w:rsidRPr="001163A1">
        <w:rPr>
          <w:rFonts w:ascii="Arial" w:hAnsi="Arial" w:cs="Arial"/>
          <w:i/>
        </w:rPr>
        <w:t>“se reunirá no menos de dos veces al mes, y cuando las circunstancias lo exijan”</w:t>
      </w:r>
      <w:r w:rsidR="003E48FC" w:rsidRPr="001163A1">
        <w:rPr>
          <w:rFonts w:ascii="Arial" w:hAnsi="Arial" w:cs="Arial"/>
          <w:i/>
        </w:rPr>
        <w:t xml:space="preserve">; </w:t>
      </w:r>
      <w:r w:rsidR="00847C7D" w:rsidRPr="001163A1">
        <w:rPr>
          <w:rFonts w:ascii="Arial" w:hAnsi="Arial" w:cs="Arial"/>
        </w:rPr>
        <w:t xml:space="preserve">de acuerdo con lo verificado </w:t>
      </w:r>
      <w:r w:rsidR="003E48FC" w:rsidRPr="001163A1">
        <w:rPr>
          <w:rFonts w:ascii="Arial" w:hAnsi="Arial" w:cs="Arial"/>
        </w:rPr>
        <w:t xml:space="preserve">por  la Oficina de Control Interno </w:t>
      </w:r>
      <w:r w:rsidR="00847C7D" w:rsidRPr="001163A1">
        <w:rPr>
          <w:rFonts w:ascii="Arial" w:hAnsi="Arial" w:cs="Arial"/>
        </w:rPr>
        <w:t>en</w:t>
      </w:r>
      <w:r w:rsidR="00676D93" w:rsidRPr="001163A1">
        <w:rPr>
          <w:rFonts w:ascii="Arial" w:hAnsi="Arial" w:cs="Arial"/>
        </w:rPr>
        <w:t xml:space="preserve"> </w:t>
      </w:r>
      <w:r w:rsidR="00847C7D" w:rsidRPr="001163A1">
        <w:rPr>
          <w:rFonts w:ascii="Arial" w:hAnsi="Arial" w:cs="Arial"/>
        </w:rPr>
        <w:t xml:space="preserve">la carpeta </w:t>
      </w:r>
      <w:r w:rsidR="003E48FC" w:rsidRPr="001163A1">
        <w:rPr>
          <w:rFonts w:ascii="Arial" w:hAnsi="Arial" w:cs="Arial"/>
        </w:rPr>
        <w:t xml:space="preserve">denominada </w:t>
      </w:r>
      <w:r w:rsidR="003B613F" w:rsidRPr="001163A1">
        <w:rPr>
          <w:rFonts w:ascii="Arial" w:hAnsi="Arial" w:cs="Arial"/>
          <w:b/>
          <w:i/>
        </w:rPr>
        <w:t>“Comité de Conciliación y Defensa Judicial”</w:t>
      </w:r>
      <w:r w:rsidR="003B613F" w:rsidRPr="001163A1">
        <w:rPr>
          <w:rFonts w:ascii="Arial" w:hAnsi="Arial" w:cs="Arial"/>
        </w:rPr>
        <w:t xml:space="preserve"> donde reposan las </w:t>
      </w:r>
      <w:r w:rsidR="003E48FC" w:rsidRPr="001163A1">
        <w:rPr>
          <w:rFonts w:ascii="Arial" w:hAnsi="Arial" w:cs="Arial"/>
        </w:rPr>
        <w:t xml:space="preserve">actas de las sesiones adelantadas en el periodo Enero-Diciembre </w:t>
      </w:r>
      <w:r w:rsidR="00847C7D" w:rsidRPr="001163A1">
        <w:rPr>
          <w:rFonts w:ascii="Arial" w:hAnsi="Arial" w:cs="Arial"/>
        </w:rPr>
        <w:t>2016 y</w:t>
      </w:r>
      <w:r w:rsidR="00676D93" w:rsidRPr="001163A1">
        <w:rPr>
          <w:rFonts w:ascii="Arial" w:hAnsi="Arial" w:cs="Arial"/>
        </w:rPr>
        <w:t xml:space="preserve"> lo</w:t>
      </w:r>
      <w:r w:rsidR="003E48FC" w:rsidRPr="001163A1">
        <w:rPr>
          <w:rFonts w:ascii="Arial" w:hAnsi="Arial" w:cs="Arial"/>
        </w:rPr>
        <w:t xml:space="preserve"> </w:t>
      </w:r>
      <w:r w:rsidR="00676D93" w:rsidRPr="001163A1">
        <w:rPr>
          <w:rFonts w:ascii="Arial" w:hAnsi="Arial" w:cs="Arial"/>
        </w:rPr>
        <w:t xml:space="preserve">informado </w:t>
      </w:r>
      <w:r w:rsidR="003E48FC" w:rsidRPr="001163A1">
        <w:rPr>
          <w:rFonts w:ascii="Arial" w:hAnsi="Arial" w:cs="Arial"/>
        </w:rPr>
        <w:t xml:space="preserve">a ésta Oficina </w:t>
      </w:r>
      <w:r w:rsidR="00676D93" w:rsidRPr="001163A1">
        <w:rPr>
          <w:rFonts w:ascii="Arial" w:hAnsi="Arial" w:cs="Arial"/>
        </w:rPr>
        <w:t>por la Secretaria Técnica</w:t>
      </w:r>
      <w:r w:rsidR="003E48FC" w:rsidRPr="001163A1">
        <w:rPr>
          <w:rFonts w:ascii="Arial" w:hAnsi="Arial" w:cs="Arial"/>
        </w:rPr>
        <w:t xml:space="preserve"> del Comité</w:t>
      </w:r>
      <w:r w:rsidR="00AB3785" w:rsidRPr="001163A1">
        <w:rPr>
          <w:rFonts w:ascii="Arial" w:hAnsi="Arial" w:cs="Arial"/>
        </w:rPr>
        <w:t xml:space="preserve">, se realizaron en la vigencia un </w:t>
      </w:r>
      <w:r w:rsidR="00CB2E3A" w:rsidRPr="001163A1">
        <w:rPr>
          <w:rFonts w:ascii="Arial" w:hAnsi="Arial" w:cs="Arial"/>
        </w:rPr>
        <w:t xml:space="preserve">total de </w:t>
      </w:r>
      <w:r w:rsidR="00AC67B6" w:rsidRPr="001163A1">
        <w:rPr>
          <w:rFonts w:ascii="Arial" w:hAnsi="Arial" w:cs="Arial"/>
        </w:rPr>
        <w:t>veintisiete (</w:t>
      </w:r>
      <w:r w:rsidR="00CB2E3A" w:rsidRPr="001163A1">
        <w:rPr>
          <w:rFonts w:ascii="Arial" w:hAnsi="Arial" w:cs="Arial"/>
        </w:rPr>
        <w:t>27</w:t>
      </w:r>
      <w:r w:rsidR="00AC67B6" w:rsidRPr="001163A1">
        <w:rPr>
          <w:rFonts w:ascii="Arial" w:hAnsi="Arial" w:cs="Arial"/>
        </w:rPr>
        <w:t>)</w:t>
      </w:r>
      <w:r w:rsidR="00CB2E3A" w:rsidRPr="001163A1">
        <w:rPr>
          <w:rFonts w:ascii="Arial" w:hAnsi="Arial" w:cs="Arial"/>
        </w:rPr>
        <w:t xml:space="preserve"> sesiones, de las cuales </w:t>
      </w:r>
      <w:r w:rsidR="00AC67B6" w:rsidRPr="001163A1">
        <w:rPr>
          <w:rFonts w:ascii="Arial" w:hAnsi="Arial" w:cs="Arial"/>
        </w:rPr>
        <w:t>veinticinco (</w:t>
      </w:r>
      <w:r w:rsidR="00A57363" w:rsidRPr="001163A1">
        <w:rPr>
          <w:rFonts w:ascii="Arial" w:hAnsi="Arial" w:cs="Arial"/>
        </w:rPr>
        <w:t>25</w:t>
      </w:r>
      <w:r w:rsidR="00AC67B6" w:rsidRPr="001163A1">
        <w:rPr>
          <w:rFonts w:ascii="Arial" w:hAnsi="Arial" w:cs="Arial"/>
        </w:rPr>
        <w:t xml:space="preserve">) </w:t>
      </w:r>
      <w:r w:rsidR="00CB2E3A" w:rsidRPr="001163A1">
        <w:rPr>
          <w:rFonts w:ascii="Arial" w:hAnsi="Arial" w:cs="Arial"/>
        </w:rPr>
        <w:t>se adelantaron de manera virtual (Resolución 115 de 2015 DAFP).</w:t>
      </w:r>
      <w:r w:rsidR="00447AC9" w:rsidRPr="001163A1">
        <w:rPr>
          <w:rFonts w:ascii="Arial" w:hAnsi="Arial" w:cs="Arial"/>
        </w:rPr>
        <w:t xml:space="preserve"> </w:t>
      </w:r>
    </w:p>
    <w:p w:rsidR="00853CFE" w:rsidRPr="008A4292" w:rsidRDefault="00AF73AA" w:rsidP="005114BF">
      <w:pPr>
        <w:jc w:val="both"/>
        <w:rPr>
          <w:rFonts w:ascii="Arial" w:hAnsi="Arial" w:cs="Arial"/>
        </w:rPr>
      </w:pPr>
      <w:r w:rsidRPr="008A4292">
        <w:rPr>
          <w:rFonts w:ascii="Arial" w:hAnsi="Arial" w:cs="Arial"/>
        </w:rPr>
        <w:t>La periodicidad de las reuniones del Comité, dependen también  de las solicitudes que se radiquen en la Entidad, en cumplimiento d</w:t>
      </w:r>
      <w:r w:rsidR="005114BF" w:rsidRPr="008A4292">
        <w:rPr>
          <w:rFonts w:ascii="Arial" w:hAnsi="Arial" w:cs="Arial"/>
        </w:rPr>
        <w:t>el Artículo 2.2.4.3.1.2.4.</w:t>
      </w:r>
      <w:r w:rsidRPr="008A4292">
        <w:rPr>
          <w:rFonts w:ascii="Arial" w:hAnsi="Arial" w:cs="Arial"/>
        </w:rPr>
        <w:t xml:space="preserve">, el cual señala </w:t>
      </w:r>
      <w:r w:rsidR="005114BF" w:rsidRPr="008A4292">
        <w:rPr>
          <w:rFonts w:ascii="Arial" w:hAnsi="Arial" w:cs="Arial"/>
          <w:i/>
        </w:rPr>
        <w:t>“</w:t>
      </w:r>
      <w:r w:rsidR="009B2737" w:rsidRPr="008A4292">
        <w:rPr>
          <w:rFonts w:ascii="Arial" w:hAnsi="Arial" w:cs="Arial"/>
          <w:i/>
        </w:rPr>
        <w:t xml:space="preserve">… </w:t>
      </w:r>
      <w:r w:rsidR="005114BF" w:rsidRPr="008A4292">
        <w:rPr>
          <w:rFonts w:ascii="Arial" w:hAnsi="Arial" w:cs="Arial"/>
          <w:i/>
        </w:rPr>
        <w:t>Presentada la petición de conciliación ante la entidad, el Comité de Conciliación cuenta con quince (15) días a partir de su recibo para tomar la correspondiente decisión</w:t>
      </w:r>
      <w:r w:rsidR="009B2737" w:rsidRPr="008A4292">
        <w:rPr>
          <w:rFonts w:ascii="Arial" w:hAnsi="Arial" w:cs="Arial"/>
          <w:i/>
        </w:rPr>
        <w:t>…</w:t>
      </w:r>
      <w:r w:rsidR="005114BF" w:rsidRPr="008A4292">
        <w:rPr>
          <w:rFonts w:ascii="Arial" w:hAnsi="Arial" w:cs="Arial"/>
        </w:rPr>
        <w:t>”,  de acuerdo con la información sumini</w:t>
      </w:r>
      <w:r w:rsidR="009B2737" w:rsidRPr="008A4292">
        <w:rPr>
          <w:rFonts w:ascii="Arial" w:hAnsi="Arial" w:cs="Arial"/>
        </w:rPr>
        <w:t>strada por la Secretaria</w:t>
      </w:r>
      <w:r w:rsidRPr="008A4292">
        <w:rPr>
          <w:rFonts w:ascii="Arial" w:hAnsi="Arial" w:cs="Arial"/>
        </w:rPr>
        <w:t xml:space="preserve"> Técnica del Comité,  indica</w:t>
      </w:r>
      <w:r w:rsidR="005114BF" w:rsidRPr="008A4292">
        <w:rPr>
          <w:rFonts w:ascii="Arial" w:hAnsi="Arial" w:cs="Arial"/>
        </w:rPr>
        <w:t xml:space="preserve"> que para controlar el término señalado en la norma, se gestiona la matriz denominada “Registro de Conciliaciones”</w:t>
      </w:r>
      <w:r w:rsidR="00AC67B6" w:rsidRPr="008A4292">
        <w:rPr>
          <w:rFonts w:ascii="Arial" w:hAnsi="Arial" w:cs="Arial"/>
        </w:rPr>
        <w:t xml:space="preserve">, </w:t>
      </w:r>
      <w:r w:rsidR="005114BF" w:rsidRPr="008A4292">
        <w:rPr>
          <w:rFonts w:ascii="Arial" w:hAnsi="Arial" w:cs="Arial"/>
        </w:rPr>
        <w:t xml:space="preserve">donde se encuentra el seguimiento entre la radicación de la solicitud de conciliación y la fecha máxima de reunión del </w:t>
      </w:r>
      <w:r w:rsidR="00AC67B6" w:rsidRPr="008A4292">
        <w:rPr>
          <w:rFonts w:ascii="Arial" w:hAnsi="Arial" w:cs="Arial"/>
        </w:rPr>
        <w:t>C</w:t>
      </w:r>
      <w:r w:rsidR="005114BF" w:rsidRPr="008A4292">
        <w:rPr>
          <w:rFonts w:ascii="Arial" w:hAnsi="Arial" w:cs="Arial"/>
        </w:rPr>
        <w:t>omité.</w:t>
      </w:r>
    </w:p>
    <w:p w:rsidR="0011213B" w:rsidRPr="008A4292" w:rsidRDefault="005114BF" w:rsidP="005114BF">
      <w:pPr>
        <w:jc w:val="both"/>
        <w:rPr>
          <w:rFonts w:ascii="Arial" w:hAnsi="Arial" w:cs="Arial"/>
        </w:rPr>
      </w:pPr>
      <w:r w:rsidRPr="008A4292">
        <w:rPr>
          <w:rFonts w:ascii="Arial" w:hAnsi="Arial" w:cs="Arial"/>
        </w:rPr>
        <w:t xml:space="preserve">Una vez verificada la matriz en mención, se encontraron que del total </w:t>
      </w:r>
      <w:r w:rsidR="00AC67B6" w:rsidRPr="008A4292">
        <w:rPr>
          <w:rFonts w:ascii="Arial" w:hAnsi="Arial" w:cs="Arial"/>
        </w:rPr>
        <w:t>de setenta</w:t>
      </w:r>
      <w:r w:rsidRPr="008A4292">
        <w:rPr>
          <w:rFonts w:ascii="Arial" w:hAnsi="Arial" w:cs="Arial"/>
        </w:rPr>
        <w:t xml:space="preserve"> y siete (77) solicitudes de conciliación extrajudicial adelantadas e</w:t>
      </w:r>
      <w:r w:rsidR="00AC67B6" w:rsidRPr="008A4292">
        <w:rPr>
          <w:rFonts w:ascii="Arial" w:hAnsi="Arial" w:cs="Arial"/>
        </w:rPr>
        <w:t xml:space="preserve">n el </w:t>
      </w:r>
      <w:r w:rsidR="00447AC9" w:rsidRPr="008A4292">
        <w:rPr>
          <w:rFonts w:ascii="Arial" w:hAnsi="Arial" w:cs="Arial"/>
        </w:rPr>
        <w:t xml:space="preserve">2016, </w:t>
      </w:r>
      <w:r w:rsidR="00E43163" w:rsidRPr="008A4292">
        <w:rPr>
          <w:rFonts w:ascii="Arial" w:hAnsi="Arial" w:cs="Arial"/>
        </w:rPr>
        <w:t xml:space="preserve">el 95% aproximadamente fueron tramitadas dentro de los plazos establecidos en la norma y solo </w:t>
      </w:r>
      <w:r w:rsidR="006D0425" w:rsidRPr="008A4292">
        <w:rPr>
          <w:rFonts w:ascii="Arial" w:hAnsi="Arial" w:cs="Arial"/>
        </w:rPr>
        <w:t>el 5</w:t>
      </w:r>
      <w:r w:rsidR="00E43163" w:rsidRPr="008A4292">
        <w:rPr>
          <w:rFonts w:ascii="Arial" w:hAnsi="Arial" w:cs="Arial"/>
        </w:rPr>
        <w:t>% (</w:t>
      </w:r>
      <w:r w:rsidR="00AC67B6" w:rsidRPr="008A4292">
        <w:rPr>
          <w:rFonts w:ascii="Arial" w:hAnsi="Arial" w:cs="Arial"/>
        </w:rPr>
        <w:t>4</w:t>
      </w:r>
      <w:r w:rsidR="00E43163" w:rsidRPr="008A4292">
        <w:rPr>
          <w:rFonts w:ascii="Arial" w:hAnsi="Arial" w:cs="Arial"/>
        </w:rPr>
        <w:t>)</w:t>
      </w:r>
      <w:r w:rsidR="006D0425" w:rsidRPr="008A4292">
        <w:rPr>
          <w:rFonts w:ascii="Arial" w:hAnsi="Arial" w:cs="Arial"/>
        </w:rPr>
        <w:t xml:space="preserve"> </w:t>
      </w:r>
      <w:r w:rsidR="00E43163" w:rsidRPr="008A4292">
        <w:rPr>
          <w:rFonts w:ascii="Arial" w:hAnsi="Arial" w:cs="Arial"/>
        </w:rPr>
        <w:t xml:space="preserve">se sometieron a </w:t>
      </w:r>
      <w:r w:rsidRPr="008A4292">
        <w:rPr>
          <w:rFonts w:ascii="Arial" w:hAnsi="Arial" w:cs="Arial"/>
        </w:rPr>
        <w:t xml:space="preserve">estudio fuera del termino prescrito </w:t>
      </w:r>
      <w:r w:rsidR="00AC67B6" w:rsidRPr="008A4292">
        <w:rPr>
          <w:rFonts w:ascii="Arial" w:hAnsi="Arial" w:cs="Arial"/>
        </w:rPr>
        <w:t>(15 días</w:t>
      </w:r>
      <w:r w:rsidR="00AB3785" w:rsidRPr="008A4292">
        <w:rPr>
          <w:rFonts w:ascii="Arial" w:hAnsi="Arial" w:cs="Arial"/>
        </w:rPr>
        <w:t>); sin</w:t>
      </w:r>
      <w:r w:rsidRPr="008A4292">
        <w:rPr>
          <w:rFonts w:ascii="Arial" w:hAnsi="Arial" w:cs="Arial"/>
        </w:rPr>
        <w:t xml:space="preserve"> </w:t>
      </w:r>
      <w:r w:rsidR="00AC67B6" w:rsidRPr="008A4292">
        <w:rPr>
          <w:rFonts w:ascii="Arial" w:hAnsi="Arial" w:cs="Arial"/>
        </w:rPr>
        <w:t>embargo,</w:t>
      </w:r>
      <w:r w:rsidRPr="008A4292">
        <w:rPr>
          <w:rFonts w:ascii="Arial" w:hAnsi="Arial" w:cs="Arial"/>
        </w:rPr>
        <w:t xml:space="preserve"> se aclara que tres (3) de ellas se analizaron antes de la celebración de la Audiencia de Conciliación</w:t>
      </w:r>
      <w:r w:rsidR="00E43163" w:rsidRPr="008A4292">
        <w:rPr>
          <w:rFonts w:ascii="Arial" w:hAnsi="Arial" w:cs="Arial"/>
        </w:rPr>
        <w:t xml:space="preserve"> y </w:t>
      </w:r>
      <w:r w:rsidR="0011213B" w:rsidRPr="008A4292">
        <w:rPr>
          <w:rFonts w:ascii="Arial" w:hAnsi="Arial" w:cs="Arial"/>
        </w:rPr>
        <w:t>una (1) no fue sometida a estudio dado una situación excepcional presentada por los apoderados de las partes, lo que generó que</w:t>
      </w:r>
      <w:r w:rsidR="0011213B" w:rsidRPr="008A4292">
        <w:t xml:space="preserve"> </w:t>
      </w:r>
      <w:r w:rsidR="0011213B" w:rsidRPr="008A4292">
        <w:rPr>
          <w:rFonts w:ascii="Arial" w:hAnsi="Arial" w:cs="Arial"/>
        </w:rPr>
        <w:t xml:space="preserve">la Procuraduría decidiera declarar fallida la audiencia y no fijar nueva fecha para la realización de la misma.  </w:t>
      </w:r>
      <w:r w:rsidR="00E43163" w:rsidRPr="008A4292">
        <w:rPr>
          <w:rFonts w:ascii="Arial" w:hAnsi="Arial" w:cs="Arial"/>
        </w:rPr>
        <w:t xml:space="preserve"> </w:t>
      </w:r>
    </w:p>
    <w:p w:rsidR="0011213B" w:rsidRDefault="0011213B" w:rsidP="005114BF">
      <w:pPr>
        <w:jc w:val="both"/>
        <w:rPr>
          <w:rFonts w:ascii="Arial" w:hAnsi="Arial" w:cs="Arial"/>
        </w:rPr>
      </w:pPr>
    </w:p>
    <w:p w:rsidR="0011213B" w:rsidRDefault="0011213B" w:rsidP="005114BF">
      <w:pPr>
        <w:jc w:val="both"/>
        <w:rPr>
          <w:rFonts w:ascii="Arial" w:hAnsi="Arial" w:cs="Arial"/>
        </w:rPr>
      </w:pPr>
    </w:p>
    <w:p w:rsidR="0011213B" w:rsidRDefault="0011213B" w:rsidP="005114BF">
      <w:pPr>
        <w:jc w:val="both"/>
        <w:rPr>
          <w:rFonts w:ascii="Arial" w:hAnsi="Arial" w:cs="Arial"/>
        </w:rPr>
      </w:pPr>
    </w:p>
    <w:p w:rsidR="0011213B" w:rsidRDefault="0011213B" w:rsidP="005114BF">
      <w:pPr>
        <w:jc w:val="both"/>
        <w:rPr>
          <w:rFonts w:ascii="Arial" w:hAnsi="Arial" w:cs="Arial"/>
        </w:rPr>
      </w:pPr>
    </w:p>
    <w:p w:rsidR="00AF73AA" w:rsidRPr="006D0425" w:rsidRDefault="00AC67B6" w:rsidP="005114BF">
      <w:pPr>
        <w:jc w:val="both"/>
        <w:rPr>
          <w:rFonts w:ascii="Arial" w:hAnsi="Arial" w:cs="Arial"/>
          <w:color w:val="0070C0"/>
        </w:rPr>
      </w:pPr>
      <w:r w:rsidRPr="001163A1">
        <w:rPr>
          <w:rFonts w:ascii="Arial" w:hAnsi="Arial" w:cs="Arial"/>
        </w:rPr>
        <w:t xml:space="preserve">A continuación, se </w:t>
      </w:r>
      <w:r w:rsidR="0011213B">
        <w:rPr>
          <w:rFonts w:ascii="Arial" w:hAnsi="Arial" w:cs="Arial"/>
        </w:rPr>
        <w:t xml:space="preserve">presenta </w:t>
      </w:r>
      <w:r w:rsidRPr="001163A1">
        <w:rPr>
          <w:rFonts w:ascii="Arial" w:hAnsi="Arial" w:cs="Arial"/>
        </w:rPr>
        <w:t>el detalle</w:t>
      </w:r>
      <w:r w:rsidR="0011213B">
        <w:rPr>
          <w:rFonts w:ascii="Arial" w:hAnsi="Arial" w:cs="Arial"/>
        </w:rPr>
        <w:t xml:space="preserve"> de las Solicitudes de Conciliación extemporáneas</w:t>
      </w:r>
      <w:r w:rsidRPr="001163A1">
        <w:rPr>
          <w:rFonts w:ascii="Arial" w:hAnsi="Arial" w:cs="Arial"/>
        </w:rPr>
        <w:t>:</w:t>
      </w:r>
      <w:r w:rsidRPr="001163A1">
        <w:rPr>
          <w:rFonts w:ascii="Arial" w:hAnsi="Arial" w:cs="Arial"/>
          <w:noProof/>
          <w:lang w:eastAsia="es-CO"/>
        </w:rPr>
        <w:t xml:space="preserve"> </w:t>
      </w:r>
    </w:p>
    <w:p w:rsidR="005114BF" w:rsidRPr="001163A1" w:rsidRDefault="00AF73AA" w:rsidP="00FD1B23">
      <w:pPr>
        <w:spacing w:line="120" w:lineRule="auto"/>
        <w:jc w:val="both"/>
        <w:rPr>
          <w:rFonts w:ascii="Arial" w:hAnsi="Arial" w:cs="Arial"/>
        </w:rPr>
      </w:pPr>
      <w:r w:rsidRPr="001163A1">
        <w:rPr>
          <w:rFonts w:ascii="Arial" w:hAnsi="Arial" w:cs="Arial"/>
          <w:noProof/>
          <w:lang w:eastAsia="es-CO"/>
        </w:rPr>
        <w:drawing>
          <wp:inline distT="0" distB="0" distL="0" distR="0" wp14:anchorId="5C8C7461" wp14:editId="465B2074">
            <wp:extent cx="5610225" cy="3237236"/>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21195" r="3826" b="12500"/>
                    <a:stretch/>
                  </pic:blipFill>
                  <pic:spPr bwMode="auto">
                    <a:xfrm>
                      <a:off x="0" y="0"/>
                      <a:ext cx="5651199" cy="3260879"/>
                    </a:xfrm>
                    <a:prstGeom prst="rect">
                      <a:avLst/>
                    </a:prstGeom>
                    <a:ln>
                      <a:noFill/>
                    </a:ln>
                    <a:extLst>
                      <a:ext uri="{53640926-AAD7-44D8-BBD7-CCE9431645EC}">
                        <a14:shadowObscured xmlns:a14="http://schemas.microsoft.com/office/drawing/2010/main"/>
                      </a:ext>
                    </a:extLst>
                  </pic:spPr>
                </pic:pic>
              </a:graphicData>
            </a:graphic>
          </wp:inline>
        </w:drawing>
      </w:r>
    </w:p>
    <w:p w:rsidR="005114BF" w:rsidRPr="00E43163" w:rsidRDefault="005114BF" w:rsidP="005114BF">
      <w:pPr>
        <w:jc w:val="both"/>
        <w:rPr>
          <w:rFonts w:ascii="Arial" w:hAnsi="Arial" w:cs="Arial"/>
          <w:b/>
          <w:sz w:val="14"/>
          <w:szCs w:val="14"/>
        </w:rPr>
      </w:pPr>
      <w:r w:rsidRPr="00E43163">
        <w:rPr>
          <w:rFonts w:ascii="Arial" w:hAnsi="Arial" w:cs="Arial"/>
          <w:b/>
          <w:sz w:val="14"/>
          <w:szCs w:val="14"/>
        </w:rPr>
        <w:t xml:space="preserve">Fuente: Matriz “Seguimiento conciliaciones” Secretaría Técnica del Comité  </w:t>
      </w:r>
    </w:p>
    <w:p w:rsidR="00BB4854" w:rsidRPr="001163A1" w:rsidRDefault="00BB4854" w:rsidP="00BB4854">
      <w:pPr>
        <w:numPr>
          <w:ilvl w:val="0"/>
          <w:numId w:val="11"/>
        </w:numPr>
        <w:jc w:val="both"/>
        <w:rPr>
          <w:rFonts w:ascii="Arial" w:hAnsi="Arial" w:cs="Arial"/>
        </w:rPr>
      </w:pPr>
      <w:r w:rsidRPr="001163A1">
        <w:rPr>
          <w:rFonts w:ascii="Arial" w:hAnsi="Arial" w:cs="Arial"/>
          <w:b/>
        </w:rPr>
        <w:t>Funciones del Comité de Conciliación</w:t>
      </w:r>
      <w:r w:rsidRPr="001163A1">
        <w:rPr>
          <w:rFonts w:ascii="Arial" w:hAnsi="Arial" w:cs="Arial"/>
        </w:rPr>
        <w:t xml:space="preserve"> </w:t>
      </w:r>
    </w:p>
    <w:p w:rsidR="00447AC9" w:rsidRPr="001163A1" w:rsidRDefault="00D61648" w:rsidP="005114BF">
      <w:pPr>
        <w:jc w:val="both"/>
        <w:rPr>
          <w:rFonts w:ascii="Arial" w:hAnsi="Arial" w:cs="Arial"/>
          <w:i/>
        </w:rPr>
      </w:pPr>
      <w:r w:rsidRPr="001163A1">
        <w:rPr>
          <w:rFonts w:ascii="Arial" w:hAnsi="Arial" w:cs="Arial"/>
        </w:rPr>
        <w:t>El Comité de Conciliación en cumplimien</w:t>
      </w:r>
      <w:r w:rsidR="00F6503B">
        <w:rPr>
          <w:rFonts w:ascii="Arial" w:hAnsi="Arial" w:cs="Arial"/>
        </w:rPr>
        <w:t xml:space="preserve">to del Artículo 2.2.4.3.1.2.5. </w:t>
      </w:r>
      <w:r w:rsidRPr="001163A1">
        <w:rPr>
          <w:rFonts w:ascii="Arial" w:hAnsi="Arial" w:cs="Arial"/>
        </w:rPr>
        <w:t xml:space="preserve">del Decreto 1069 de 2015, </w:t>
      </w:r>
      <w:r w:rsidR="005114BF" w:rsidRPr="001163A1">
        <w:rPr>
          <w:rFonts w:ascii="Arial" w:hAnsi="Arial" w:cs="Arial"/>
        </w:rPr>
        <w:t>dentro de sus funciones, se encuentran</w:t>
      </w:r>
      <w:r w:rsidR="00447AC9" w:rsidRPr="001163A1">
        <w:rPr>
          <w:rFonts w:ascii="Arial" w:hAnsi="Arial" w:cs="Arial"/>
        </w:rPr>
        <w:t xml:space="preserve"> entre otras</w:t>
      </w:r>
      <w:r w:rsidR="005114BF" w:rsidRPr="001163A1">
        <w:rPr>
          <w:rFonts w:ascii="Arial" w:hAnsi="Arial" w:cs="Arial"/>
        </w:rPr>
        <w:t xml:space="preserve">: </w:t>
      </w:r>
      <w:r w:rsidR="005114BF" w:rsidRPr="001163A1">
        <w:rPr>
          <w:rFonts w:ascii="Arial" w:hAnsi="Arial" w:cs="Arial"/>
          <w:i/>
        </w:rPr>
        <w:t>“1. Formular y ejecutar políticas de prevención del daño antijurídico. 2. Diseñar las políticas generales que orientarán la defensa de los intereses de la entidad.”</w:t>
      </w:r>
      <w:r w:rsidR="00B06F8B" w:rsidRPr="001163A1">
        <w:rPr>
          <w:rFonts w:ascii="Arial" w:hAnsi="Arial" w:cs="Arial"/>
          <w:i/>
        </w:rPr>
        <w:t xml:space="preserve"> </w:t>
      </w:r>
    </w:p>
    <w:p w:rsidR="005114BF" w:rsidRPr="001163A1" w:rsidRDefault="00447AC9" w:rsidP="005114BF">
      <w:pPr>
        <w:jc w:val="both"/>
        <w:rPr>
          <w:rFonts w:ascii="Arial" w:hAnsi="Arial" w:cs="Arial"/>
          <w:i/>
        </w:rPr>
      </w:pPr>
      <w:r w:rsidRPr="001163A1">
        <w:rPr>
          <w:rFonts w:ascii="Arial" w:hAnsi="Arial" w:cs="Arial"/>
        </w:rPr>
        <w:t xml:space="preserve">Con base en lo anterior la Oficina de Control Interno, evidencia a finales de la vigencia 2016 la actualización de la </w:t>
      </w:r>
      <w:r w:rsidR="005114BF" w:rsidRPr="001163A1">
        <w:rPr>
          <w:rFonts w:ascii="Arial" w:hAnsi="Arial" w:cs="Arial"/>
        </w:rPr>
        <w:t>“</w:t>
      </w:r>
      <w:r w:rsidR="00230F13" w:rsidRPr="001163A1">
        <w:rPr>
          <w:rFonts w:ascii="Arial" w:hAnsi="Arial" w:cs="Arial"/>
        </w:rPr>
        <w:t>Política</w:t>
      </w:r>
      <w:r w:rsidR="005114BF" w:rsidRPr="001163A1">
        <w:rPr>
          <w:rFonts w:ascii="Arial" w:hAnsi="Arial" w:cs="Arial"/>
        </w:rPr>
        <w:t xml:space="preserve"> de prevención del daño antijurídico”</w:t>
      </w:r>
      <w:r w:rsidRPr="001163A1">
        <w:rPr>
          <w:rFonts w:ascii="Arial" w:hAnsi="Arial" w:cs="Arial"/>
        </w:rPr>
        <w:t xml:space="preserve">, </w:t>
      </w:r>
      <w:r w:rsidR="005114BF" w:rsidRPr="001163A1">
        <w:rPr>
          <w:rFonts w:ascii="Arial" w:hAnsi="Arial" w:cs="Arial"/>
        </w:rPr>
        <w:t xml:space="preserve">acogiendo las </w:t>
      </w:r>
      <w:r w:rsidRPr="001163A1">
        <w:rPr>
          <w:rFonts w:ascii="Arial" w:hAnsi="Arial" w:cs="Arial"/>
        </w:rPr>
        <w:t xml:space="preserve">directrices impartidas por </w:t>
      </w:r>
      <w:r w:rsidR="005114BF" w:rsidRPr="001163A1">
        <w:rPr>
          <w:rFonts w:ascii="Arial" w:hAnsi="Arial" w:cs="Arial"/>
        </w:rPr>
        <w:t>la Agencia Nacional de Defensa Jurídica del Estado</w:t>
      </w:r>
      <w:r w:rsidR="0078307A" w:rsidRPr="001163A1">
        <w:rPr>
          <w:rFonts w:ascii="Arial" w:hAnsi="Arial" w:cs="Arial"/>
        </w:rPr>
        <w:t xml:space="preserve"> “ANDJE”.  Se actualizaron los siguientes aspectos:</w:t>
      </w:r>
      <w:r w:rsidR="005114BF" w:rsidRPr="001163A1">
        <w:rPr>
          <w:rFonts w:ascii="Arial" w:hAnsi="Arial" w:cs="Arial"/>
        </w:rPr>
        <w:t xml:space="preserve"> </w:t>
      </w:r>
    </w:p>
    <w:p w:rsidR="005114BF" w:rsidRPr="001163A1" w:rsidRDefault="00F6503B" w:rsidP="005114BF">
      <w:pPr>
        <w:jc w:val="both"/>
        <w:rPr>
          <w:rFonts w:ascii="Arial" w:hAnsi="Arial" w:cs="Arial"/>
        </w:rPr>
      </w:pPr>
      <w:r>
        <w:rPr>
          <w:rFonts w:ascii="Arial" w:hAnsi="Arial" w:cs="Arial"/>
        </w:rPr>
        <w:t xml:space="preserve">- </w:t>
      </w:r>
      <w:r w:rsidR="005114BF" w:rsidRPr="001163A1">
        <w:rPr>
          <w:rFonts w:ascii="Arial" w:hAnsi="Arial" w:cs="Arial"/>
        </w:rPr>
        <w:t>Ajuste a los nuevos formatos, de acuerdo al paso a paso remitido por la ANDJE</w:t>
      </w:r>
      <w:r w:rsidR="0078307A" w:rsidRPr="001163A1">
        <w:rPr>
          <w:rFonts w:ascii="Arial" w:hAnsi="Arial" w:cs="Arial"/>
        </w:rPr>
        <w:t xml:space="preserve"> (</w:t>
      </w:r>
      <w:r w:rsidR="005114BF" w:rsidRPr="001163A1">
        <w:rPr>
          <w:rFonts w:ascii="Arial" w:hAnsi="Arial" w:cs="Arial"/>
        </w:rPr>
        <w:t>C</w:t>
      </w:r>
      <w:r w:rsidR="0078307A" w:rsidRPr="001163A1">
        <w:rPr>
          <w:rFonts w:ascii="Arial" w:hAnsi="Arial" w:cs="Arial"/>
        </w:rPr>
        <w:t xml:space="preserve">ircular Externa No. 06 de </w:t>
      </w:r>
      <w:r w:rsidR="005114BF" w:rsidRPr="001163A1">
        <w:rPr>
          <w:rFonts w:ascii="Arial" w:hAnsi="Arial" w:cs="Arial"/>
        </w:rPr>
        <w:t>julio de 2016</w:t>
      </w:r>
      <w:r w:rsidR="0078307A" w:rsidRPr="001163A1">
        <w:rPr>
          <w:rFonts w:ascii="Arial" w:hAnsi="Arial" w:cs="Arial"/>
        </w:rPr>
        <w:t>)</w:t>
      </w:r>
      <w:r w:rsidR="005114BF" w:rsidRPr="001163A1">
        <w:rPr>
          <w:rFonts w:ascii="Arial" w:hAnsi="Arial" w:cs="Arial"/>
        </w:rPr>
        <w:t>.</w:t>
      </w:r>
    </w:p>
    <w:p w:rsidR="005114BF" w:rsidRPr="001163A1" w:rsidRDefault="00F6503B" w:rsidP="005114BF">
      <w:pPr>
        <w:jc w:val="both"/>
        <w:rPr>
          <w:rFonts w:ascii="Arial" w:hAnsi="Arial" w:cs="Arial"/>
        </w:rPr>
      </w:pPr>
      <w:r>
        <w:rPr>
          <w:rFonts w:ascii="Arial" w:hAnsi="Arial" w:cs="Arial"/>
        </w:rPr>
        <w:t xml:space="preserve">- </w:t>
      </w:r>
      <w:r w:rsidR="005114BF" w:rsidRPr="001163A1">
        <w:rPr>
          <w:rFonts w:ascii="Arial" w:hAnsi="Arial" w:cs="Arial"/>
        </w:rPr>
        <w:t>Determinación de la actividad litigiosa</w:t>
      </w:r>
      <w:r w:rsidR="0078307A" w:rsidRPr="001163A1">
        <w:rPr>
          <w:rFonts w:ascii="Arial" w:hAnsi="Arial" w:cs="Arial"/>
        </w:rPr>
        <w:t>,</w:t>
      </w:r>
      <w:r w:rsidR="005114BF" w:rsidRPr="001163A1">
        <w:rPr>
          <w:rFonts w:ascii="Arial" w:hAnsi="Arial" w:cs="Arial"/>
        </w:rPr>
        <w:t xml:space="preserve"> teniendo en cuenta las causas señaladas en el </w:t>
      </w:r>
      <w:r w:rsidR="0078307A" w:rsidRPr="001163A1">
        <w:rPr>
          <w:rFonts w:ascii="Arial" w:hAnsi="Arial" w:cs="Arial"/>
        </w:rPr>
        <w:t>S</w:t>
      </w:r>
      <w:r w:rsidR="005114BF" w:rsidRPr="001163A1">
        <w:rPr>
          <w:rFonts w:ascii="Arial" w:hAnsi="Arial" w:cs="Arial"/>
        </w:rPr>
        <w:t xml:space="preserve">istema de </w:t>
      </w:r>
      <w:r w:rsidR="0078307A" w:rsidRPr="001163A1">
        <w:rPr>
          <w:rFonts w:ascii="Arial" w:hAnsi="Arial" w:cs="Arial"/>
        </w:rPr>
        <w:t>I</w:t>
      </w:r>
      <w:r w:rsidR="005114BF" w:rsidRPr="001163A1">
        <w:rPr>
          <w:rFonts w:ascii="Arial" w:hAnsi="Arial" w:cs="Arial"/>
        </w:rPr>
        <w:t>nform</w:t>
      </w:r>
      <w:r w:rsidR="0078307A" w:rsidRPr="001163A1">
        <w:rPr>
          <w:rFonts w:ascii="Arial" w:hAnsi="Arial" w:cs="Arial"/>
        </w:rPr>
        <w:t>ación L</w:t>
      </w:r>
      <w:r w:rsidR="005114BF" w:rsidRPr="001163A1">
        <w:rPr>
          <w:rFonts w:ascii="Arial" w:hAnsi="Arial" w:cs="Arial"/>
        </w:rPr>
        <w:t xml:space="preserve">itigiosa </w:t>
      </w:r>
      <w:r w:rsidR="0078307A" w:rsidRPr="001163A1">
        <w:rPr>
          <w:rFonts w:ascii="Arial" w:hAnsi="Arial" w:cs="Arial"/>
        </w:rPr>
        <w:t xml:space="preserve">- </w:t>
      </w:r>
      <w:r w:rsidR="005114BF" w:rsidRPr="001163A1">
        <w:rPr>
          <w:rFonts w:ascii="Arial" w:hAnsi="Arial" w:cs="Arial"/>
        </w:rPr>
        <w:t>EKogui.</w:t>
      </w:r>
    </w:p>
    <w:p w:rsidR="005114BF" w:rsidRPr="001163A1" w:rsidRDefault="00F6503B" w:rsidP="005114BF">
      <w:pPr>
        <w:jc w:val="both"/>
        <w:rPr>
          <w:rFonts w:ascii="Arial" w:hAnsi="Arial" w:cs="Arial"/>
        </w:rPr>
      </w:pPr>
      <w:r>
        <w:rPr>
          <w:rFonts w:ascii="Arial" w:hAnsi="Arial" w:cs="Arial"/>
        </w:rPr>
        <w:t xml:space="preserve">- </w:t>
      </w:r>
      <w:r w:rsidR="0078307A" w:rsidRPr="001163A1">
        <w:rPr>
          <w:rFonts w:ascii="Arial" w:hAnsi="Arial" w:cs="Arial"/>
        </w:rPr>
        <w:t>Establecimiento de la</w:t>
      </w:r>
      <w:r w:rsidR="005114BF" w:rsidRPr="001163A1">
        <w:rPr>
          <w:rFonts w:ascii="Arial" w:hAnsi="Arial" w:cs="Arial"/>
        </w:rPr>
        <w:t xml:space="preserve"> continuidad a las acciones señaladas en la política formulada en la vigencia 2015.</w:t>
      </w:r>
    </w:p>
    <w:p w:rsidR="005114BF" w:rsidRPr="001163A1" w:rsidRDefault="00B06F8B" w:rsidP="005114BF">
      <w:pPr>
        <w:jc w:val="both"/>
        <w:rPr>
          <w:rFonts w:ascii="Arial" w:hAnsi="Arial" w:cs="Arial"/>
        </w:rPr>
      </w:pPr>
      <w:r w:rsidRPr="001163A1">
        <w:rPr>
          <w:rFonts w:ascii="Arial" w:hAnsi="Arial" w:cs="Arial"/>
        </w:rPr>
        <w:t>Dentro de</w:t>
      </w:r>
      <w:r w:rsidR="005114BF" w:rsidRPr="001163A1">
        <w:rPr>
          <w:rFonts w:ascii="Arial" w:hAnsi="Arial" w:cs="Arial"/>
        </w:rPr>
        <w:t xml:space="preserve"> </w:t>
      </w:r>
      <w:r w:rsidRPr="001163A1">
        <w:rPr>
          <w:rFonts w:ascii="Arial" w:hAnsi="Arial" w:cs="Arial"/>
        </w:rPr>
        <w:t>esta actualización se observa que el Comité de Conciliación</w:t>
      </w:r>
      <w:r w:rsidR="0078307A" w:rsidRPr="001163A1">
        <w:rPr>
          <w:rFonts w:ascii="Arial" w:hAnsi="Arial" w:cs="Arial"/>
        </w:rPr>
        <w:t>,</w:t>
      </w:r>
      <w:r w:rsidRPr="001163A1">
        <w:rPr>
          <w:rFonts w:ascii="Arial" w:hAnsi="Arial" w:cs="Arial"/>
        </w:rPr>
        <w:t xml:space="preserve"> estudió y analizó las causas generadoras de los conflictos que dieron lugar a los procesos </w:t>
      </w:r>
      <w:r w:rsidR="00BE0F40" w:rsidRPr="001163A1">
        <w:rPr>
          <w:rFonts w:ascii="Arial" w:hAnsi="Arial" w:cs="Arial"/>
        </w:rPr>
        <w:t>en que</w:t>
      </w:r>
      <w:r w:rsidRPr="001163A1">
        <w:rPr>
          <w:rFonts w:ascii="Arial" w:hAnsi="Arial" w:cs="Arial"/>
        </w:rPr>
        <w:t xml:space="preserve"> formó parte la Entidad.</w:t>
      </w:r>
      <w:r w:rsidR="00BE0F40" w:rsidRPr="001163A1">
        <w:rPr>
          <w:rFonts w:ascii="Arial" w:hAnsi="Arial" w:cs="Arial"/>
        </w:rPr>
        <w:t xml:space="preserve">  Lo anterior evidencia el cum</w:t>
      </w:r>
      <w:r w:rsidR="007709C4" w:rsidRPr="001163A1">
        <w:rPr>
          <w:rFonts w:ascii="Arial" w:hAnsi="Arial" w:cs="Arial"/>
        </w:rPr>
        <w:t>plimiento de la función tercera seña</w:t>
      </w:r>
      <w:r w:rsidR="00490C20" w:rsidRPr="001163A1">
        <w:rPr>
          <w:rFonts w:ascii="Arial" w:hAnsi="Arial" w:cs="Arial"/>
        </w:rPr>
        <w:t xml:space="preserve">lada en </w:t>
      </w:r>
      <w:r w:rsidR="00490C20" w:rsidRPr="001163A1">
        <w:rPr>
          <w:rFonts w:ascii="Arial" w:hAnsi="Arial" w:cs="Arial"/>
        </w:rPr>
        <w:lastRenderedPageBreak/>
        <w:t>la norma, la cual reza:</w:t>
      </w:r>
      <w:r w:rsidR="008B3390" w:rsidRPr="001163A1">
        <w:rPr>
          <w:rFonts w:ascii="Arial" w:hAnsi="Arial" w:cs="Arial"/>
          <w:i/>
          <w:color w:val="0070C0"/>
        </w:rPr>
        <w:t xml:space="preserve"> </w:t>
      </w:r>
      <w:r w:rsidR="007709C4" w:rsidRPr="001163A1">
        <w:rPr>
          <w:rFonts w:ascii="Arial" w:hAnsi="Arial" w:cs="Arial"/>
          <w:i/>
        </w:rPr>
        <w:t>“Estudiar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w:t>
      </w:r>
    </w:p>
    <w:p w:rsidR="007709C4" w:rsidRPr="001163A1" w:rsidRDefault="007709C4" w:rsidP="007709C4">
      <w:pPr>
        <w:jc w:val="both"/>
        <w:rPr>
          <w:rFonts w:ascii="Arial" w:hAnsi="Arial" w:cs="Arial"/>
        </w:rPr>
      </w:pPr>
      <w:r w:rsidRPr="001163A1">
        <w:rPr>
          <w:rFonts w:ascii="Arial" w:hAnsi="Arial" w:cs="Arial"/>
        </w:rPr>
        <w:t xml:space="preserve">Respecto de las funciones </w:t>
      </w:r>
      <w:r w:rsidR="008B3390" w:rsidRPr="001163A1">
        <w:rPr>
          <w:rFonts w:ascii="Arial" w:hAnsi="Arial" w:cs="Arial"/>
        </w:rPr>
        <w:t>cuarta y quinta señalan “</w:t>
      </w:r>
      <w:r w:rsidRPr="001163A1">
        <w:rPr>
          <w:rFonts w:ascii="Arial" w:hAnsi="Arial" w:cs="Arial"/>
          <w:i/>
        </w:rPr>
        <w:t>Fijar directrices institucionales para la aplicación de los mecanismos de arreglo directo, tales como la transacción y la conciliación, sin perjuicio de su estudio y decisión en cada caso concreto…</w:t>
      </w:r>
      <w:r w:rsidR="008B3390" w:rsidRPr="001163A1">
        <w:rPr>
          <w:rFonts w:ascii="Arial" w:hAnsi="Arial" w:cs="Arial"/>
          <w:i/>
        </w:rPr>
        <w:t xml:space="preserve">” y </w:t>
      </w:r>
      <w:r w:rsidR="008B3390" w:rsidRPr="001163A1">
        <w:rPr>
          <w:rFonts w:ascii="Arial" w:hAnsi="Arial" w:cs="Arial"/>
        </w:rPr>
        <w:t>“</w:t>
      </w:r>
      <w:r w:rsidRPr="001163A1">
        <w:rPr>
          <w:rFonts w:ascii="Arial" w:hAnsi="Arial" w:cs="Arial"/>
          <w:i/>
        </w:rPr>
        <w:t>Determinar, en cada caso, la procedencia o improcedencia de la conciliación y señalar la posición institucional...</w:t>
      </w:r>
      <w:r w:rsidRPr="001163A1">
        <w:rPr>
          <w:rFonts w:ascii="Arial" w:hAnsi="Arial" w:cs="Arial"/>
        </w:rPr>
        <w:t>”, el Comité de Conciliación determinó, en cada caso presentado en las sesiones, la procedencia o improcedencia d</w:t>
      </w:r>
      <w:r w:rsidR="00AC648A" w:rsidRPr="001163A1">
        <w:rPr>
          <w:rFonts w:ascii="Arial" w:hAnsi="Arial" w:cs="Arial"/>
        </w:rPr>
        <w:t>e la conciliación y señaló</w:t>
      </w:r>
      <w:r w:rsidRPr="001163A1">
        <w:rPr>
          <w:rFonts w:ascii="Arial" w:hAnsi="Arial" w:cs="Arial"/>
        </w:rPr>
        <w:t xml:space="preserve"> la posición institucional para que el apoderado </w:t>
      </w:r>
      <w:r w:rsidR="007C3138" w:rsidRPr="001163A1">
        <w:rPr>
          <w:rFonts w:ascii="Arial" w:hAnsi="Arial" w:cs="Arial"/>
        </w:rPr>
        <w:t xml:space="preserve">judicial </w:t>
      </w:r>
      <w:r w:rsidRPr="001163A1">
        <w:rPr>
          <w:rFonts w:ascii="Arial" w:hAnsi="Arial" w:cs="Arial"/>
        </w:rPr>
        <w:t xml:space="preserve">actuará en las Audiencias de Conciliación. </w:t>
      </w:r>
    </w:p>
    <w:p w:rsidR="007709C4" w:rsidRPr="001163A1" w:rsidRDefault="008B3390" w:rsidP="007709C4">
      <w:pPr>
        <w:jc w:val="both"/>
        <w:rPr>
          <w:rFonts w:ascii="Arial" w:hAnsi="Arial" w:cs="Arial"/>
        </w:rPr>
      </w:pPr>
      <w:r w:rsidRPr="001163A1">
        <w:rPr>
          <w:rFonts w:ascii="Arial" w:hAnsi="Arial" w:cs="Arial"/>
        </w:rPr>
        <w:t xml:space="preserve">En lo relacionado con las </w:t>
      </w:r>
      <w:r w:rsidR="00932FE2" w:rsidRPr="001163A1">
        <w:rPr>
          <w:rFonts w:ascii="Arial" w:hAnsi="Arial" w:cs="Arial"/>
        </w:rPr>
        <w:t xml:space="preserve">funciones </w:t>
      </w:r>
      <w:r w:rsidRPr="001163A1">
        <w:rPr>
          <w:rFonts w:ascii="Arial" w:hAnsi="Arial" w:cs="Arial"/>
        </w:rPr>
        <w:t>sexta y séptima determinan “</w:t>
      </w:r>
      <w:r w:rsidR="007709C4" w:rsidRPr="001163A1">
        <w:rPr>
          <w:rFonts w:ascii="Arial" w:hAnsi="Arial" w:cs="Arial"/>
          <w:i/>
        </w:rPr>
        <w:t>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w:t>
      </w:r>
      <w:r w:rsidR="00932FE2" w:rsidRPr="001163A1">
        <w:rPr>
          <w:rFonts w:ascii="Arial" w:hAnsi="Arial" w:cs="Arial"/>
          <w:i/>
        </w:rPr>
        <w:t>n</w:t>
      </w:r>
      <w:r w:rsidR="00932FE2" w:rsidRPr="001163A1">
        <w:rPr>
          <w:rFonts w:ascii="Arial" w:hAnsi="Arial" w:cs="Arial"/>
        </w:rPr>
        <w:t>…</w:t>
      </w:r>
      <w:r w:rsidRPr="001163A1">
        <w:rPr>
          <w:rFonts w:ascii="Arial" w:hAnsi="Arial" w:cs="Arial"/>
        </w:rPr>
        <w:t>” y “</w:t>
      </w:r>
      <w:r w:rsidR="00932FE2" w:rsidRPr="001163A1">
        <w:rPr>
          <w:rFonts w:ascii="Arial" w:hAnsi="Arial" w:cs="Arial"/>
          <w:i/>
        </w:rPr>
        <w:t>Determinar la procedencia o improcedencia del llamamiento en g</w:t>
      </w:r>
      <w:r w:rsidR="00AC648A" w:rsidRPr="001163A1">
        <w:rPr>
          <w:rFonts w:ascii="Arial" w:hAnsi="Arial" w:cs="Arial"/>
          <w:i/>
        </w:rPr>
        <w:t>arantía con fines de repetición</w:t>
      </w:r>
      <w:r w:rsidR="007709C4" w:rsidRPr="001163A1">
        <w:rPr>
          <w:rFonts w:ascii="Arial" w:hAnsi="Arial" w:cs="Arial"/>
          <w:i/>
        </w:rPr>
        <w:t>”</w:t>
      </w:r>
      <w:r w:rsidR="00AC648A" w:rsidRPr="001163A1">
        <w:rPr>
          <w:rFonts w:ascii="Arial" w:hAnsi="Arial" w:cs="Arial"/>
        </w:rPr>
        <w:t>;</w:t>
      </w:r>
      <w:r w:rsidR="007709C4" w:rsidRPr="001163A1">
        <w:rPr>
          <w:rFonts w:ascii="Arial" w:hAnsi="Arial" w:cs="Arial"/>
        </w:rPr>
        <w:t xml:space="preserve"> como se indicó en el primer punto de este informe, el Comité de Conciliación no gestionó en el año 2016 acciones de repetic</w:t>
      </w:r>
      <w:r w:rsidR="00932FE2" w:rsidRPr="001163A1">
        <w:rPr>
          <w:rFonts w:ascii="Arial" w:hAnsi="Arial" w:cs="Arial"/>
        </w:rPr>
        <w:t xml:space="preserve">ión, igualmente </w:t>
      </w:r>
      <w:r w:rsidR="007709C4" w:rsidRPr="001163A1">
        <w:rPr>
          <w:rFonts w:ascii="Arial" w:hAnsi="Arial" w:cs="Arial"/>
        </w:rPr>
        <w:t>no se estudiaron casos de procedencia para el llamamiento en garantía con fines de repetición.</w:t>
      </w:r>
    </w:p>
    <w:p w:rsidR="00932FE2" w:rsidRPr="001163A1" w:rsidRDefault="00F810D6" w:rsidP="00932FE2">
      <w:pPr>
        <w:jc w:val="both"/>
        <w:rPr>
          <w:rFonts w:ascii="Arial" w:hAnsi="Arial" w:cs="Arial"/>
        </w:rPr>
      </w:pPr>
      <w:r w:rsidRPr="001163A1">
        <w:rPr>
          <w:rFonts w:ascii="Arial" w:hAnsi="Arial" w:cs="Arial"/>
        </w:rPr>
        <w:t>Frente a la función</w:t>
      </w:r>
      <w:r w:rsidR="00096DE6" w:rsidRPr="001163A1">
        <w:rPr>
          <w:rFonts w:ascii="Arial" w:hAnsi="Arial" w:cs="Arial"/>
        </w:rPr>
        <w:t xml:space="preserve"> octava la cual establece </w:t>
      </w:r>
      <w:r w:rsidRPr="001163A1">
        <w:rPr>
          <w:rFonts w:ascii="Arial" w:hAnsi="Arial" w:cs="Arial"/>
          <w:i/>
        </w:rPr>
        <w:t>“</w:t>
      </w:r>
      <w:r w:rsidR="00984339" w:rsidRPr="001163A1">
        <w:rPr>
          <w:rFonts w:ascii="Arial" w:hAnsi="Arial" w:cs="Arial"/>
          <w:i/>
        </w:rPr>
        <w:t>Definir los criterios para la selección de abogados externos que garanticen su idoneidad para la defensa de los intereses públicos y realizar seguimiento sobre lo</w:t>
      </w:r>
      <w:r w:rsidRPr="001163A1">
        <w:rPr>
          <w:rFonts w:ascii="Arial" w:hAnsi="Arial" w:cs="Arial"/>
          <w:i/>
        </w:rPr>
        <w:t>s procesos a ellos encomendados”, e</w:t>
      </w:r>
      <w:r w:rsidR="00932FE2" w:rsidRPr="001163A1">
        <w:rPr>
          <w:rFonts w:ascii="Arial" w:hAnsi="Arial" w:cs="Arial"/>
        </w:rPr>
        <w:t xml:space="preserve">n el seguimiento de acuerdo a lo informado por la Secretaria Técnica del Comité, no se presentaron casos que requirieran la fijación de criterios para la selección de Abogados Externos, que garantizaran la idoneidad en la defensa de los intereses de la Entidad; se observa en la matriz de seguimiento llevada por la Secretaria Técnica que los apoderados en todos los casos, son </w:t>
      </w:r>
      <w:r w:rsidR="00464FCD" w:rsidRPr="001163A1">
        <w:rPr>
          <w:rFonts w:ascii="Arial" w:hAnsi="Arial" w:cs="Arial"/>
        </w:rPr>
        <w:t xml:space="preserve"> los </w:t>
      </w:r>
      <w:r w:rsidR="00932FE2" w:rsidRPr="001163A1">
        <w:rPr>
          <w:rFonts w:ascii="Arial" w:hAnsi="Arial" w:cs="Arial"/>
        </w:rPr>
        <w:t>que integran el Grupo de Defensa Judicial.</w:t>
      </w:r>
    </w:p>
    <w:p w:rsidR="00FB3F7A" w:rsidRPr="001163A1" w:rsidRDefault="00665B56" w:rsidP="00FB3F7A">
      <w:pPr>
        <w:jc w:val="both"/>
        <w:rPr>
          <w:rFonts w:ascii="Arial" w:hAnsi="Arial" w:cs="Arial"/>
        </w:rPr>
      </w:pPr>
      <w:r w:rsidRPr="001163A1">
        <w:rPr>
          <w:rFonts w:ascii="Arial" w:hAnsi="Arial" w:cs="Arial"/>
        </w:rPr>
        <w:t xml:space="preserve">El </w:t>
      </w:r>
      <w:r w:rsidR="00EE2B8F" w:rsidRPr="001163A1">
        <w:rPr>
          <w:rFonts w:ascii="Arial" w:hAnsi="Arial" w:cs="Arial"/>
        </w:rPr>
        <w:t>C</w:t>
      </w:r>
      <w:r w:rsidRPr="001163A1">
        <w:rPr>
          <w:rFonts w:ascii="Arial" w:hAnsi="Arial" w:cs="Arial"/>
        </w:rPr>
        <w:t xml:space="preserve">omité de </w:t>
      </w:r>
      <w:r w:rsidR="00EE2B8F" w:rsidRPr="001163A1">
        <w:rPr>
          <w:rFonts w:ascii="Arial" w:hAnsi="Arial" w:cs="Arial"/>
        </w:rPr>
        <w:t>C</w:t>
      </w:r>
      <w:r w:rsidRPr="001163A1">
        <w:rPr>
          <w:rFonts w:ascii="Arial" w:hAnsi="Arial" w:cs="Arial"/>
        </w:rPr>
        <w:t>onciliación</w:t>
      </w:r>
      <w:r w:rsidR="00AF4907" w:rsidRPr="001163A1">
        <w:rPr>
          <w:rFonts w:ascii="Arial" w:hAnsi="Arial" w:cs="Arial"/>
        </w:rPr>
        <w:t xml:space="preserve"> tiene </w:t>
      </w:r>
      <w:r w:rsidR="004333A5" w:rsidRPr="001163A1">
        <w:rPr>
          <w:rFonts w:ascii="Arial" w:hAnsi="Arial" w:cs="Arial"/>
        </w:rPr>
        <w:t>como una de</w:t>
      </w:r>
      <w:r w:rsidR="00AF4907" w:rsidRPr="001163A1">
        <w:rPr>
          <w:rFonts w:ascii="Arial" w:hAnsi="Arial" w:cs="Arial"/>
        </w:rPr>
        <w:t xml:space="preserve"> sus funciones</w:t>
      </w:r>
      <w:r w:rsidR="00955D13" w:rsidRPr="001163A1">
        <w:rPr>
          <w:rFonts w:ascii="Arial" w:hAnsi="Arial" w:cs="Arial"/>
        </w:rPr>
        <w:t xml:space="preserve"> </w:t>
      </w:r>
      <w:r w:rsidR="00AF4907" w:rsidRPr="001163A1">
        <w:rPr>
          <w:rFonts w:ascii="Arial" w:hAnsi="Arial" w:cs="Arial"/>
        </w:rPr>
        <w:t xml:space="preserve">la designación de </w:t>
      </w:r>
      <w:r w:rsidR="00EE2B8F" w:rsidRPr="001163A1">
        <w:rPr>
          <w:rFonts w:ascii="Arial" w:hAnsi="Arial" w:cs="Arial"/>
        </w:rPr>
        <w:t>la Secretaria Técnica</w:t>
      </w:r>
      <w:r w:rsidR="00AF4907" w:rsidRPr="001163A1">
        <w:rPr>
          <w:rFonts w:ascii="Arial" w:hAnsi="Arial" w:cs="Arial"/>
        </w:rPr>
        <w:t>, te</w:t>
      </w:r>
      <w:r w:rsidR="00D74A35" w:rsidRPr="001163A1">
        <w:rPr>
          <w:rFonts w:ascii="Arial" w:hAnsi="Arial" w:cs="Arial"/>
        </w:rPr>
        <w:t xml:space="preserve">niendo en cuenta que se realizó cambio de la </w:t>
      </w:r>
      <w:r w:rsidR="0016778C" w:rsidRPr="001163A1">
        <w:rPr>
          <w:rFonts w:ascii="Arial" w:hAnsi="Arial" w:cs="Arial"/>
        </w:rPr>
        <w:t xml:space="preserve">profesional </w:t>
      </w:r>
      <w:r w:rsidR="00EE2B8F" w:rsidRPr="001163A1">
        <w:rPr>
          <w:rFonts w:ascii="Arial" w:hAnsi="Arial" w:cs="Arial"/>
        </w:rPr>
        <w:t xml:space="preserve">a </w:t>
      </w:r>
      <w:r w:rsidR="00D74A35" w:rsidRPr="001163A1">
        <w:rPr>
          <w:rFonts w:ascii="Arial" w:hAnsi="Arial" w:cs="Arial"/>
        </w:rPr>
        <w:t xml:space="preserve">partir del mes de septiembre </w:t>
      </w:r>
      <w:r w:rsidR="00AF4907" w:rsidRPr="001163A1">
        <w:rPr>
          <w:rFonts w:ascii="Arial" w:hAnsi="Arial" w:cs="Arial"/>
        </w:rPr>
        <w:t>del año inmediatamente anterior, n</w:t>
      </w:r>
      <w:r w:rsidRPr="001163A1">
        <w:rPr>
          <w:rFonts w:ascii="Arial" w:hAnsi="Arial" w:cs="Arial"/>
        </w:rPr>
        <w:t xml:space="preserve">o </w:t>
      </w:r>
      <w:r w:rsidR="00466EB5" w:rsidRPr="001163A1">
        <w:rPr>
          <w:rFonts w:ascii="Arial" w:hAnsi="Arial" w:cs="Arial"/>
        </w:rPr>
        <w:t>se observó</w:t>
      </w:r>
      <w:r w:rsidRPr="001163A1">
        <w:rPr>
          <w:rFonts w:ascii="Arial" w:hAnsi="Arial" w:cs="Arial"/>
        </w:rPr>
        <w:t xml:space="preserve"> </w:t>
      </w:r>
      <w:r w:rsidR="00141E32" w:rsidRPr="001163A1">
        <w:rPr>
          <w:rFonts w:ascii="Arial" w:hAnsi="Arial" w:cs="Arial"/>
        </w:rPr>
        <w:t>en el orden del día en las sesiones adelantadas en los meses de agosto a diciembre</w:t>
      </w:r>
      <w:r w:rsidR="00096DE6" w:rsidRPr="001163A1">
        <w:rPr>
          <w:rFonts w:ascii="Arial" w:hAnsi="Arial" w:cs="Arial"/>
        </w:rPr>
        <w:t>, l</w:t>
      </w:r>
      <w:r w:rsidR="00EE2B8F" w:rsidRPr="001163A1">
        <w:rPr>
          <w:rFonts w:ascii="Arial" w:hAnsi="Arial" w:cs="Arial"/>
        </w:rPr>
        <w:t xml:space="preserve">a inclusión </w:t>
      </w:r>
      <w:r w:rsidR="00141E32" w:rsidRPr="001163A1">
        <w:rPr>
          <w:rFonts w:ascii="Arial" w:hAnsi="Arial" w:cs="Arial"/>
        </w:rPr>
        <w:t xml:space="preserve">de </w:t>
      </w:r>
      <w:r w:rsidR="00EE2B8F" w:rsidRPr="001163A1">
        <w:rPr>
          <w:rFonts w:ascii="Arial" w:hAnsi="Arial" w:cs="Arial"/>
        </w:rPr>
        <w:t>la “Designación de la Secretaria Técnica”</w:t>
      </w:r>
      <w:r w:rsidR="004333A5" w:rsidRPr="001163A1">
        <w:rPr>
          <w:rFonts w:ascii="Arial" w:hAnsi="Arial" w:cs="Arial"/>
        </w:rPr>
        <w:t>.</w:t>
      </w:r>
      <w:r w:rsidR="00955D13" w:rsidRPr="001163A1">
        <w:rPr>
          <w:rFonts w:ascii="Arial" w:hAnsi="Arial" w:cs="Arial"/>
        </w:rPr>
        <w:t xml:space="preserve"> </w:t>
      </w:r>
    </w:p>
    <w:p w:rsidR="00114792" w:rsidRDefault="003535F9" w:rsidP="00BB4854">
      <w:pPr>
        <w:jc w:val="both"/>
        <w:rPr>
          <w:rFonts w:ascii="Arial" w:hAnsi="Arial" w:cs="Arial"/>
        </w:rPr>
      </w:pPr>
      <w:r w:rsidRPr="001163A1">
        <w:rPr>
          <w:rFonts w:ascii="Arial" w:hAnsi="Arial" w:cs="Arial"/>
        </w:rPr>
        <w:t xml:space="preserve">De acuerdo con la observación señalada anteriormente, durante el seguimiento realizado por la Oficina de Control </w:t>
      </w:r>
      <w:r w:rsidR="00BF1093" w:rsidRPr="001163A1">
        <w:rPr>
          <w:rFonts w:ascii="Arial" w:hAnsi="Arial" w:cs="Arial"/>
        </w:rPr>
        <w:t>Interno, se pudo</w:t>
      </w:r>
      <w:r w:rsidRPr="001163A1">
        <w:rPr>
          <w:rFonts w:ascii="Arial" w:hAnsi="Arial" w:cs="Arial"/>
        </w:rPr>
        <w:t xml:space="preserve"> evidenciar que el Comité de </w:t>
      </w:r>
      <w:r w:rsidR="00BF1093" w:rsidRPr="001163A1">
        <w:rPr>
          <w:rFonts w:ascii="Arial" w:hAnsi="Arial" w:cs="Arial"/>
        </w:rPr>
        <w:t>C</w:t>
      </w:r>
      <w:r w:rsidRPr="001163A1">
        <w:rPr>
          <w:rFonts w:ascii="Arial" w:hAnsi="Arial" w:cs="Arial"/>
        </w:rPr>
        <w:t>onciliación se reunió virtualmente para ratificar la designación de la profesional del derecho qu</w:t>
      </w:r>
      <w:r w:rsidR="00A20993" w:rsidRPr="001163A1">
        <w:rPr>
          <w:rFonts w:ascii="Arial" w:hAnsi="Arial" w:cs="Arial"/>
        </w:rPr>
        <w:t>e viene fungiendo como</w:t>
      </w:r>
      <w:r w:rsidRPr="001163A1">
        <w:rPr>
          <w:rFonts w:ascii="Arial" w:hAnsi="Arial" w:cs="Arial"/>
        </w:rPr>
        <w:t xml:space="preserve"> Secretaría Técnica desde el mes de septiembre del año anterior. </w:t>
      </w:r>
    </w:p>
    <w:p w:rsidR="000238B1" w:rsidRDefault="000238B1" w:rsidP="00BB4854">
      <w:pPr>
        <w:jc w:val="both"/>
        <w:rPr>
          <w:rFonts w:ascii="Arial" w:hAnsi="Arial" w:cs="Arial"/>
        </w:rPr>
      </w:pPr>
    </w:p>
    <w:p w:rsidR="00BB4854" w:rsidRPr="001163A1" w:rsidRDefault="00530E51" w:rsidP="00DE3307">
      <w:pPr>
        <w:pStyle w:val="Prrafodelista"/>
        <w:numPr>
          <w:ilvl w:val="0"/>
          <w:numId w:val="11"/>
        </w:numPr>
        <w:jc w:val="both"/>
        <w:rPr>
          <w:rFonts w:ascii="Arial" w:hAnsi="Arial" w:cs="Arial"/>
          <w:b/>
        </w:rPr>
      </w:pPr>
      <w:r w:rsidRPr="001163A1">
        <w:rPr>
          <w:rFonts w:ascii="Arial" w:hAnsi="Arial" w:cs="Arial"/>
          <w:b/>
        </w:rPr>
        <w:t>Funciones del Secretario del Comité</w:t>
      </w:r>
    </w:p>
    <w:p w:rsidR="00405D14" w:rsidRPr="001163A1" w:rsidRDefault="001B1300" w:rsidP="00530E51">
      <w:pPr>
        <w:jc w:val="both"/>
        <w:rPr>
          <w:rFonts w:ascii="Arial" w:hAnsi="Arial" w:cs="Arial"/>
        </w:rPr>
      </w:pPr>
      <w:r w:rsidRPr="001163A1">
        <w:rPr>
          <w:rFonts w:ascii="Arial" w:hAnsi="Arial" w:cs="Arial"/>
        </w:rPr>
        <w:t xml:space="preserve">La Oficina de Control Interno </w:t>
      </w:r>
      <w:r w:rsidR="00F83E27" w:rsidRPr="001163A1">
        <w:rPr>
          <w:rFonts w:ascii="Arial" w:hAnsi="Arial" w:cs="Arial"/>
        </w:rPr>
        <w:t>realizó seguimiento, a</w:t>
      </w:r>
      <w:r w:rsidRPr="001163A1">
        <w:rPr>
          <w:rFonts w:ascii="Arial" w:hAnsi="Arial" w:cs="Arial"/>
        </w:rPr>
        <w:t xml:space="preserve">l cumplimiento de las funciones de la Secretaría Técnica </w:t>
      </w:r>
      <w:r w:rsidR="000933E8" w:rsidRPr="001163A1">
        <w:rPr>
          <w:rFonts w:ascii="Arial" w:hAnsi="Arial" w:cs="Arial"/>
        </w:rPr>
        <w:t>(A</w:t>
      </w:r>
      <w:r w:rsidR="00AF4907" w:rsidRPr="001163A1">
        <w:rPr>
          <w:rFonts w:ascii="Arial" w:hAnsi="Arial" w:cs="Arial"/>
        </w:rPr>
        <w:t>rtículo 2.2.4.3.1.2</w:t>
      </w:r>
      <w:r w:rsidR="00466EB5" w:rsidRPr="001163A1">
        <w:rPr>
          <w:rFonts w:ascii="Arial" w:hAnsi="Arial" w:cs="Arial"/>
        </w:rPr>
        <w:t>.6. del Decreto 1069 de 2015</w:t>
      </w:r>
      <w:r w:rsidR="000933E8" w:rsidRPr="001163A1">
        <w:rPr>
          <w:rFonts w:ascii="Arial" w:hAnsi="Arial" w:cs="Arial"/>
        </w:rPr>
        <w:t>)</w:t>
      </w:r>
      <w:r w:rsidR="00466EB5" w:rsidRPr="001163A1">
        <w:rPr>
          <w:rFonts w:ascii="Arial" w:hAnsi="Arial" w:cs="Arial"/>
        </w:rPr>
        <w:t xml:space="preserve">, </w:t>
      </w:r>
      <w:r w:rsidR="0040419E" w:rsidRPr="001163A1">
        <w:rPr>
          <w:rFonts w:ascii="Arial" w:hAnsi="Arial" w:cs="Arial"/>
        </w:rPr>
        <w:t>observando lo siguiente</w:t>
      </w:r>
      <w:r w:rsidR="00466EB5" w:rsidRPr="001163A1">
        <w:rPr>
          <w:rFonts w:ascii="Arial" w:hAnsi="Arial" w:cs="Arial"/>
        </w:rPr>
        <w:t>:</w:t>
      </w:r>
    </w:p>
    <w:p w:rsidR="00BE2DEC" w:rsidRPr="001163A1" w:rsidRDefault="0040419E" w:rsidP="001B1300">
      <w:pPr>
        <w:jc w:val="both"/>
        <w:rPr>
          <w:rFonts w:ascii="Arial" w:hAnsi="Arial" w:cs="Arial"/>
        </w:rPr>
      </w:pPr>
      <w:r w:rsidRPr="001163A1">
        <w:rPr>
          <w:rFonts w:ascii="Arial" w:hAnsi="Arial" w:cs="Arial"/>
        </w:rPr>
        <w:t xml:space="preserve">Al </w:t>
      </w:r>
      <w:r w:rsidR="00B324A6" w:rsidRPr="001163A1">
        <w:rPr>
          <w:rFonts w:ascii="Arial" w:hAnsi="Arial" w:cs="Arial"/>
        </w:rPr>
        <w:t>verifica</w:t>
      </w:r>
      <w:r w:rsidRPr="001163A1">
        <w:rPr>
          <w:rFonts w:ascii="Arial" w:hAnsi="Arial" w:cs="Arial"/>
        </w:rPr>
        <w:t>r</w:t>
      </w:r>
      <w:r w:rsidR="0079542E" w:rsidRPr="001163A1">
        <w:rPr>
          <w:rFonts w:ascii="Arial" w:hAnsi="Arial" w:cs="Arial"/>
        </w:rPr>
        <w:t xml:space="preserve"> la función de elaboración de las actas de cada sesión del comité </w:t>
      </w:r>
      <w:r w:rsidR="0079542E" w:rsidRPr="001163A1">
        <w:rPr>
          <w:rFonts w:ascii="Arial" w:hAnsi="Arial" w:cs="Arial"/>
          <w:i/>
        </w:rPr>
        <w:t xml:space="preserve">“…El acta deberá estar debidamente elaborada y suscrita por el Presidente y el Secretario del Comité que hayan asistido, dentro de los cinco (5) días siguientes a la correspondiente sesión”, </w:t>
      </w:r>
      <w:r w:rsidR="0079542E" w:rsidRPr="001163A1">
        <w:rPr>
          <w:rFonts w:ascii="Arial" w:hAnsi="Arial" w:cs="Arial"/>
        </w:rPr>
        <w:t>se observó</w:t>
      </w:r>
      <w:r w:rsidR="00A20993" w:rsidRPr="001163A1">
        <w:rPr>
          <w:rFonts w:ascii="Arial" w:hAnsi="Arial" w:cs="Arial"/>
        </w:rPr>
        <w:t xml:space="preserve"> para la vigencia 2016 la elaboración de veintisiete (27) </w:t>
      </w:r>
      <w:r w:rsidR="000933E8" w:rsidRPr="001163A1">
        <w:rPr>
          <w:rFonts w:ascii="Arial" w:hAnsi="Arial" w:cs="Arial"/>
        </w:rPr>
        <w:t>actas que soportan la realización de los Comités de Conciliación y Defensa Judicial</w:t>
      </w:r>
      <w:r w:rsidR="00A20993" w:rsidRPr="001163A1">
        <w:rPr>
          <w:rFonts w:ascii="Arial" w:hAnsi="Arial" w:cs="Arial"/>
        </w:rPr>
        <w:t xml:space="preserve">; </w:t>
      </w:r>
      <w:r w:rsidR="00BF1093" w:rsidRPr="001163A1">
        <w:rPr>
          <w:rFonts w:ascii="Arial" w:hAnsi="Arial" w:cs="Arial"/>
        </w:rPr>
        <w:t xml:space="preserve">solo </w:t>
      </w:r>
      <w:r w:rsidR="0079542E" w:rsidRPr="001163A1">
        <w:rPr>
          <w:rFonts w:ascii="Arial" w:hAnsi="Arial" w:cs="Arial"/>
        </w:rPr>
        <w:t>se encontró</w:t>
      </w:r>
      <w:r w:rsidR="000933E8" w:rsidRPr="001163A1">
        <w:rPr>
          <w:rFonts w:ascii="Arial" w:hAnsi="Arial" w:cs="Arial"/>
        </w:rPr>
        <w:t xml:space="preserve"> que </w:t>
      </w:r>
      <w:r w:rsidR="00A20993" w:rsidRPr="001163A1">
        <w:rPr>
          <w:rFonts w:ascii="Arial" w:hAnsi="Arial" w:cs="Arial"/>
        </w:rPr>
        <w:t xml:space="preserve">en </w:t>
      </w:r>
      <w:r w:rsidR="00A57666" w:rsidRPr="001163A1">
        <w:rPr>
          <w:rFonts w:ascii="Arial" w:hAnsi="Arial" w:cs="Arial"/>
        </w:rPr>
        <w:t xml:space="preserve">la última </w:t>
      </w:r>
      <w:r w:rsidR="0090593A" w:rsidRPr="001163A1">
        <w:rPr>
          <w:rFonts w:ascii="Arial" w:hAnsi="Arial" w:cs="Arial"/>
        </w:rPr>
        <w:t xml:space="preserve"> </w:t>
      </w:r>
      <w:r w:rsidR="00BF1093" w:rsidRPr="001163A1">
        <w:rPr>
          <w:rFonts w:ascii="Arial" w:hAnsi="Arial" w:cs="Arial"/>
        </w:rPr>
        <w:t xml:space="preserve">de éstas </w:t>
      </w:r>
      <w:r w:rsidR="00BE2DEC" w:rsidRPr="001163A1">
        <w:rPr>
          <w:rFonts w:ascii="Arial" w:hAnsi="Arial" w:cs="Arial"/>
        </w:rPr>
        <w:t>estaba</w:t>
      </w:r>
      <w:r w:rsidR="0079542E" w:rsidRPr="001163A1">
        <w:rPr>
          <w:rFonts w:ascii="Arial" w:hAnsi="Arial" w:cs="Arial"/>
        </w:rPr>
        <w:t xml:space="preserve"> pendiente </w:t>
      </w:r>
      <w:r w:rsidR="00BE2DEC" w:rsidRPr="001163A1">
        <w:rPr>
          <w:rFonts w:ascii="Arial" w:hAnsi="Arial" w:cs="Arial"/>
        </w:rPr>
        <w:t>las</w:t>
      </w:r>
      <w:r w:rsidR="000933E8" w:rsidRPr="001163A1">
        <w:rPr>
          <w:rFonts w:ascii="Arial" w:hAnsi="Arial" w:cs="Arial"/>
        </w:rPr>
        <w:t xml:space="preserve"> firmas de </w:t>
      </w:r>
      <w:r w:rsidR="0090593A" w:rsidRPr="001163A1">
        <w:rPr>
          <w:rFonts w:ascii="Arial" w:hAnsi="Arial" w:cs="Arial"/>
        </w:rPr>
        <w:t>sus miembros</w:t>
      </w:r>
      <w:r w:rsidR="0079542E" w:rsidRPr="001163A1">
        <w:rPr>
          <w:rFonts w:ascii="Arial" w:hAnsi="Arial" w:cs="Arial"/>
        </w:rPr>
        <w:t>,</w:t>
      </w:r>
      <w:r w:rsidR="00986A32" w:rsidRPr="001163A1">
        <w:rPr>
          <w:rFonts w:ascii="Arial" w:hAnsi="Arial" w:cs="Arial"/>
        </w:rPr>
        <w:t xml:space="preserve"> </w:t>
      </w:r>
      <w:r w:rsidR="0079542E" w:rsidRPr="001163A1">
        <w:rPr>
          <w:rFonts w:ascii="Arial" w:hAnsi="Arial" w:cs="Arial"/>
        </w:rPr>
        <w:t xml:space="preserve"> </w:t>
      </w:r>
      <w:r w:rsidR="00BE2DEC" w:rsidRPr="001163A1">
        <w:rPr>
          <w:rFonts w:ascii="Arial" w:hAnsi="Arial" w:cs="Arial"/>
        </w:rPr>
        <w:t xml:space="preserve">pero se evidenció que </w:t>
      </w:r>
      <w:r w:rsidR="00A20993" w:rsidRPr="001163A1">
        <w:rPr>
          <w:rFonts w:ascii="Arial" w:hAnsi="Arial" w:cs="Arial"/>
        </w:rPr>
        <w:t xml:space="preserve">el tema se subsano </w:t>
      </w:r>
      <w:r w:rsidR="00A57666" w:rsidRPr="001163A1">
        <w:rPr>
          <w:rFonts w:ascii="Arial" w:hAnsi="Arial" w:cs="Arial"/>
        </w:rPr>
        <w:t>durante el periodo de revisión por parte de esta Oficina</w:t>
      </w:r>
      <w:r w:rsidR="00BE2DEC" w:rsidRPr="001163A1">
        <w:rPr>
          <w:rFonts w:ascii="Arial" w:hAnsi="Arial" w:cs="Arial"/>
        </w:rPr>
        <w:t xml:space="preserve">. </w:t>
      </w:r>
    </w:p>
    <w:p w:rsidR="0090593A" w:rsidRDefault="00A20993" w:rsidP="001B1300">
      <w:pPr>
        <w:jc w:val="both"/>
        <w:rPr>
          <w:rFonts w:ascii="Arial" w:hAnsi="Arial" w:cs="Arial"/>
        </w:rPr>
      </w:pPr>
      <w:r w:rsidRPr="001163A1">
        <w:rPr>
          <w:rFonts w:ascii="Arial" w:hAnsi="Arial" w:cs="Arial"/>
        </w:rPr>
        <w:t>Con base en lo anterior l</w:t>
      </w:r>
      <w:r w:rsidR="00BE2DEC" w:rsidRPr="001163A1">
        <w:rPr>
          <w:rFonts w:ascii="Arial" w:hAnsi="Arial" w:cs="Arial"/>
        </w:rPr>
        <w:t>a Oficina d</w:t>
      </w:r>
      <w:r w:rsidR="00A57666" w:rsidRPr="001163A1">
        <w:rPr>
          <w:rFonts w:ascii="Arial" w:hAnsi="Arial" w:cs="Arial"/>
        </w:rPr>
        <w:t xml:space="preserve">e Control </w:t>
      </w:r>
      <w:r w:rsidRPr="001163A1">
        <w:rPr>
          <w:rFonts w:ascii="Arial" w:hAnsi="Arial" w:cs="Arial"/>
        </w:rPr>
        <w:t xml:space="preserve">Interno </w:t>
      </w:r>
      <w:r w:rsidR="00BF1093" w:rsidRPr="001163A1">
        <w:rPr>
          <w:rFonts w:ascii="Arial" w:hAnsi="Arial" w:cs="Arial"/>
        </w:rPr>
        <w:t>para</w:t>
      </w:r>
      <w:r w:rsidR="00A57666" w:rsidRPr="001163A1">
        <w:rPr>
          <w:rFonts w:ascii="Arial" w:hAnsi="Arial" w:cs="Arial"/>
        </w:rPr>
        <w:t xml:space="preserve"> </w:t>
      </w:r>
      <w:r w:rsidRPr="001163A1">
        <w:rPr>
          <w:rFonts w:ascii="Arial" w:hAnsi="Arial" w:cs="Arial"/>
        </w:rPr>
        <w:t xml:space="preserve">continuar con la revisión a las actas toma una muestra </w:t>
      </w:r>
      <w:r w:rsidR="00395DD9" w:rsidRPr="001163A1">
        <w:rPr>
          <w:rFonts w:ascii="Arial" w:hAnsi="Arial" w:cs="Arial"/>
        </w:rPr>
        <w:t xml:space="preserve">aleatoria de cinco (5) </w:t>
      </w:r>
      <w:r w:rsidRPr="001163A1">
        <w:rPr>
          <w:rFonts w:ascii="Arial" w:hAnsi="Arial" w:cs="Arial"/>
        </w:rPr>
        <w:t>de estas</w:t>
      </w:r>
      <w:r w:rsidR="00395DD9" w:rsidRPr="001163A1">
        <w:rPr>
          <w:rFonts w:ascii="Arial" w:hAnsi="Arial" w:cs="Arial"/>
        </w:rPr>
        <w:t>, lo que equivale a un 18.5%</w:t>
      </w:r>
      <w:r w:rsidRPr="001163A1">
        <w:rPr>
          <w:rFonts w:ascii="Arial" w:hAnsi="Arial" w:cs="Arial"/>
        </w:rPr>
        <w:t xml:space="preserve">.  Se observó en el seguimiento que en </w:t>
      </w:r>
      <w:r w:rsidR="00F83E27" w:rsidRPr="001163A1">
        <w:rPr>
          <w:rFonts w:ascii="Arial" w:hAnsi="Arial" w:cs="Arial"/>
        </w:rPr>
        <w:t xml:space="preserve">cuatro </w:t>
      </w:r>
      <w:r w:rsidR="0016778C" w:rsidRPr="001163A1">
        <w:rPr>
          <w:rFonts w:ascii="Arial" w:hAnsi="Arial" w:cs="Arial"/>
        </w:rPr>
        <w:t>(4)</w:t>
      </w:r>
      <w:r w:rsidR="004914A2" w:rsidRPr="001163A1">
        <w:rPr>
          <w:rFonts w:ascii="Arial" w:hAnsi="Arial" w:cs="Arial"/>
        </w:rPr>
        <w:t xml:space="preserve"> </w:t>
      </w:r>
      <w:r w:rsidR="00F83E27" w:rsidRPr="001163A1">
        <w:rPr>
          <w:rFonts w:ascii="Arial" w:hAnsi="Arial" w:cs="Arial"/>
        </w:rPr>
        <w:t>de ellas</w:t>
      </w:r>
      <w:r w:rsidRPr="001163A1">
        <w:rPr>
          <w:rFonts w:ascii="Arial" w:hAnsi="Arial" w:cs="Arial"/>
        </w:rPr>
        <w:t xml:space="preserve"> </w:t>
      </w:r>
      <w:r w:rsidR="00F83E27" w:rsidRPr="001163A1">
        <w:rPr>
          <w:rFonts w:ascii="Arial" w:hAnsi="Arial" w:cs="Arial"/>
        </w:rPr>
        <w:t xml:space="preserve">las sesiones </w:t>
      </w:r>
      <w:r w:rsidR="00D9157C" w:rsidRPr="001163A1">
        <w:rPr>
          <w:rFonts w:ascii="Arial" w:hAnsi="Arial" w:cs="Arial"/>
        </w:rPr>
        <w:t>se realizaron de manera virtual</w:t>
      </w:r>
      <w:r w:rsidR="00B324A6" w:rsidRPr="001163A1">
        <w:rPr>
          <w:rFonts w:ascii="Arial" w:hAnsi="Arial" w:cs="Arial"/>
        </w:rPr>
        <w:t xml:space="preserve"> y </w:t>
      </w:r>
      <w:r w:rsidR="004914A2" w:rsidRPr="001163A1">
        <w:rPr>
          <w:rFonts w:ascii="Arial" w:hAnsi="Arial" w:cs="Arial"/>
        </w:rPr>
        <w:t>u</w:t>
      </w:r>
      <w:r w:rsidR="00B324A6" w:rsidRPr="001163A1">
        <w:rPr>
          <w:rFonts w:ascii="Arial" w:hAnsi="Arial" w:cs="Arial"/>
        </w:rPr>
        <w:t xml:space="preserve">na </w:t>
      </w:r>
      <w:r w:rsidR="004914A2" w:rsidRPr="001163A1">
        <w:rPr>
          <w:rFonts w:ascii="Arial" w:hAnsi="Arial" w:cs="Arial"/>
        </w:rPr>
        <w:t xml:space="preserve">(1) </w:t>
      </w:r>
      <w:r w:rsidR="00B324A6" w:rsidRPr="001163A1">
        <w:rPr>
          <w:rFonts w:ascii="Arial" w:hAnsi="Arial" w:cs="Arial"/>
        </w:rPr>
        <w:t>de forma presencial</w:t>
      </w:r>
      <w:r w:rsidR="00D9157C" w:rsidRPr="001163A1">
        <w:rPr>
          <w:rFonts w:ascii="Arial" w:hAnsi="Arial" w:cs="Arial"/>
        </w:rPr>
        <w:t xml:space="preserve">. </w:t>
      </w:r>
      <w:r w:rsidR="004914A2" w:rsidRPr="001163A1">
        <w:rPr>
          <w:rFonts w:ascii="Arial" w:hAnsi="Arial" w:cs="Arial"/>
        </w:rPr>
        <w:t xml:space="preserve">Las actas que soportan las reuniones virtuales corresponden a las Nos. </w:t>
      </w:r>
      <w:r w:rsidR="00B324A6" w:rsidRPr="001163A1">
        <w:rPr>
          <w:rFonts w:ascii="Arial" w:hAnsi="Arial" w:cs="Arial"/>
        </w:rPr>
        <w:t>5, 10, 15</w:t>
      </w:r>
      <w:r w:rsidR="004914A2" w:rsidRPr="001163A1">
        <w:rPr>
          <w:rFonts w:ascii="Arial" w:hAnsi="Arial" w:cs="Arial"/>
        </w:rPr>
        <w:t xml:space="preserve"> y </w:t>
      </w:r>
      <w:r w:rsidR="00B324A6" w:rsidRPr="001163A1">
        <w:rPr>
          <w:rFonts w:ascii="Arial" w:hAnsi="Arial" w:cs="Arial"/>
        </w:rPr>
        <w:t>20.</w:t>
      </w:r>
      <w:r w:rsidR="0040419E" w:rsidRPr="001163A1">
        <w:rPr>
          <w:rFonts w:ascii="Arial" w:hAnsi="Arial" w:cs="Arial"/>
        </w:rPr>
        <w:t xml:space="preserve">  </w:t>
      </w:r>
      <w:r w:rsidR="0029616B" w:rsidRPr="001163A1">
        <w:rPr>
          <w:rFonts w:ascii="Arial" w:hAnsi="Arial" w:cs="Arial"/>
        </w:rPr>
        <w:t xml:space="preserve"> </w:t>
      </w:r>
    </w:p>
    <w:p w:rsidR="00B324A6" w:rsidRPr="001163A1" w:rsidRDefault="004914A2" w:rsidP="001B1300">
      <w:pPr>
        <w:jc w:val="both"/>
        <w:rPr>
          <w:rFonts w:ascii="Arial" w:hAnsi="Arial" w:cs="Arial"/>
        </w:rPr>
      </w:pPr>
      <w:r w:rsidRPr="001163A1">
        <w:rPr>
          <w:rFonts w:ascii="Arial" w:hAnsi="Arial" w:cs="Arial"/>
        </w:rPr>
        <w:t>Es de anotar que para la revis</w:t>
      </w:r>
      <w:r w:rsidR="00670D19" w:rsidRPr="001163A1">
        <w:rPr>
          <w:rFonts w:ascii="Arial" w:hAnsi="Arial" w:cs="Arial"/>
        </w:rPr>
        <w:t>ión de las actas antes enunciada</w:t>
      </w:r>
      <w:r w:rsidRPr="001163A1">
        <w:rPr>
          <w:rFonts w:ascii="Arial" w:hAnsi="Arial" w:cs="Arial"/>
        </w:rPr>
        <w:t>s, se tomará como referente la</w:t>
      </w:r>
      <w:r w:rsidR="00B324A6" w:rsidRPr="001163A1">
        <w:rPr>
          <w:rFonts w:ascii="Arial" w:hAnsi="Arial" w:cs="Arial"/>
        </w:rPr>
        <w:t xml:space="preserve"> Resolución No. 115 de 2015, </w:t>
      </w:r>
      <w:r w:rsidR="00670D19" w:rsidRPr="001163A1">
        <w:rPr>
          <w:rFonts w:ascii="Arial" w:hAnsi="Arial" w:cs="Arial"/>
          <w:i/>
        </w:rPr>
        <w:t>“</w:t>
      </w:r>
      <w:r w:rsidR="00B324A6" w:rsidRPr="001163A1">
        <w:rPr>
          <w:rFonts w:ascii="Arial" w:hAnsi="Arial" w:cs="Arial"/>
          <w:i/>
        </w:rPr>
        <w:t>por la cual se adopta el procedimiento para las sesiones virtuales del Comité  de Conciliación del Departamento</w:t>
      </w:r>
      <w:r w:rsidR="00670D19" w:rsidRPr="001163A1">
        <w:rPr>
          <w:rFonts w:ascii="Arial" w:hAnsi="Arial" w:cs="Arial"/>
          <w:i/>
        </w:rPr>
        <w:t xml:space="preserve"> Administrativo de la Función Pública”</w:t>
      </w:r>
      <w:r w:rsidR="00B324A6" w:rsidRPr="001163A1">
        <w:rPr>
          <w:rFonts w:ascii="Arial" w:hAnsi="Arial" w:cs="Arial"/>
        </w:rPr>
        <w:t xml:space="preserve">, </w:t>
      </w:r>
      <w:r w:rsidR="00670D19" w:rsidRPr="001163A1">
        <w:rPr>
          <w:rFonts w:ascii="Arial" w:hAnsi="Arial" w:cs="Arial"/>
        </w:rPr>
        <w:t xml:space="preserve">la cual </w:t>
      </w:r>
      <w:r w:rsidR="002D5A10" w:rsidRPr="001163A1">
        <w:rPr>
          <w:rFonts w:ascii="Arial" w:hAnsi="Arial" w:cs="Arial"/>
        </w:rPr>
        <w:t>en su artículo cuarto, señala que debe obrar como prueba de las deliberaciones y decisiones adoptadas en las reuniones virtuales</w:t>
      </w:r>
      <w:r w:rsidR="00AF4907" w:rsidRPr="001163A1">
        <w:rPr>
          <w:rFonts w:ascii="Arial" w:hAnsi="Arial" w:cs="Arial"/>
        </w:rPr>
        <w:t>,</w:t>
      </w:r>
      <w:r w:rsidR="00405D14" w:rsidRPr="001163A1">
        <w:rPr>
          <w:rFonts w:ascii="Arial" w:hAnsi="Arial" w:cs="Arial"/>
        </w:rPr>
        <w:t xml:space="preserve">  los archivos de correos electrónicos enviados y recibidos durante la sesión virtual, al igual que todos los demás medios tecnológicos de apoyo o respaldo de la respectiva sesión, los cuales deben ser conservados por la Secretaria Técnica.</w:t>
      </w:r>
      <w:r w:rsidR="0016778C" w:rsidRPr="001163A1">
        <w:rPr>
          <w:rFonts w:ascii="Arial" w:hAnsi="Arial" w:cs="Arial"/>
        </w:rPr>
        <w:t xml:space="preserve">   </w:t>
      </w:r>
    </w:p>
    <w:p w:rsidR="005B64E4" w:rsidRPr="003D32E3" w:rsidRDefault="00670D19" w:rsidP="00530E51">
      <w:pPr>
        <w:jc w:val="both"/>
        <w:rPr>
          <w:rFonts w:ascii="Arial" w:hAnsi="Arial" w:cs="Arial"/>
        </w:rPr>
      </w:pPr>
      <w:r w:rsidRPr="003D32E3">
        <w:rPr>
          <w:rFonts w:ascii="Arial" w:hAnsi="Arial" w:cs="Arial"/>
        </w:rPr>
        <w:t xml:space="preserve">Una </w:t>
      </w:r>
      <w:r w:rsidR="005768AB" w:rsidRPr="003D32E3">
        <w:rPr>
          <w:rFonts w:ascii="Arial" w:hAnsi="Arial" w:cs="Arial"/>
        </w:rPr>
        <w:t>vez revisadas las actas Nos. 5, 10, 15 y 20</w:t>
      </w:r>
      <w:r w:rsidRPr="003D32E3">
        <w:rPr>
          <w:rFonts w:ascii="Arial" w:hAnsi="Arial" w:cs="Arial"/>
        </w:rPr>
        <w:t xml:space="preserve"> </w:t>
      </w:r>
      <w:r w:rsidR="00012B25" w:rsidRPr="003D32E3">
        <w:rPr>
          <w:rFonts w:ascii="Arial" w:hAnsi="Arial" w:cs="Arial"/>
        </w:rPr>
        <w:t xml:space="preserve">y </w:t>
      </w:r>
      <w:r w:rsidRPr="003D32E3">
        <w:rPr>
          <w:rFonts w:ascii="Arial" w:hAnsi="Arial" w:cs="Arial"/>
        </w:rPr>
        <w:t>al solicitar a la Secretar</w:t>
      </w:r>
      <w:r w:rsidR="00125477" w:rsidRPr="003D32E3">
        <w:rPr>
          <w:rFonts w:ascii="Arial" w:hAnsi="Arial" w:cs="Arial"/>
        </w:rPr>
        <w:t>i</w:t>
      </w:r>
      <w:r w:rsidRPr="003D32E3">
        <w:rPr>
          <w:rFonts w:ascii="Arial" w:hAnsi="Arial" w:cs="Arial"/>
        </w:rPr>
        <w:t>a Técnica</w:t>
      </w:r>
      <w:r w:rsidR="00125477" w:rsidRPr="003D32E3">
        <w:rPr>
          <w:rFonts w:ascii="Arial" w:hAnsi="Arial" w:cs="Arial"/>
        </w:rPr>
        <w:t>,</w:t>
      </w:r>
      <w:r w:rsidRPr="003D32E3">
        <w:rPr>
          <w:rFonts w:ascii="Arial" w:hAnsi="Arial" w:cs="Arial"/>
        </w:rPr>
        <w:t xml:space="preserve"> los soportes de las sesiones, </w:t>
      </w:r>
      <w:r w:rsidR="00634913" w:rsidRPr="003D32E3">
        <w:rPr>
          <w:rFonts w:ascii="Arial" w:hAnsi="Arial" w:cs="Arial"/>
        </w:rPr>
        <w:t>e</w:t>
      </w:r>
      <w:r w:rsidR="00166825" w:rsidRPr="003D32E3">
        <w:rPr>
          <w:rFonts w:ascii="Arial" w:hAnsi="Arial" w:cs="Arial"/>
        </w:rPr>
        <w:t xml:space="preserve">l área suministró </w:t>
      </w:r>
      <w:r w:rsidR="00405D14" w:rsidRPr="003D32E3">
        <w:rPr>
          <w:rFonts w:ascii="Arial" w:hAnsi="Arial" w:cs="Arial"/>
        </w:rPr>
        <w:t xml:space="preserve">los archivos </w:t>
      </w:r>
      <w:r w:rsidRPr="003D32E3">
        <w:rPr>
          <w:rFonts w:ascii="Arial" w:hAnsi="Arial" w:cs="Arial"/>
        </w:rPr>
        <w:t xml:space="preserve">de correos electrónicos enviados y recibidos </w:t>
      </w:r>
      <w:r w:rsidR="007314EC" w:rsidRPr="003D32E3">
        <w:rPr>
          <w:rFonts w:ascii="Arial" w:hAnsi="Arial" w:cs="Arial"/>
        </w:rPr>
        <w:t xml:space="preserve">de la sesión virtual No. 5 </w:t>
      </w:r>
      <w:r w:rsidR="0042343D" w:rsidRPr="003D32E3">
        <w:rPr>
          <w:rFonts w:ascii="Arial" w:hAnsi="Arial" w:cs="Arial"/>
        </w:rPr>
        <w:t xml:space="preserve">en </w:t>
      </w:r>
      <w:r w:rsidR="007314EC" w:rsidRPr="003D32E3">
        <w:rPr>
          <w:rFonts w:ascii="Arial" w:hAnsi="Arial" w:cs="Arial"/>
        </w:rPr>
        <w:t xml:space="preserve">los términos señalados en la </w:t>
      </w:r>
      <w:r w:rsidR="00012B25" w:rsidRPr="003D32E3">
        <w:rPr>
          <w:rFonts w:ascii="Arial" w:hAnsi="Arial" w:cs="Arial"/>
        </w:rPr>
        <w:t>R</w:t>
      </w:r>
      <w:r w:rsidR="007314EC" w:rsidRPr="003D32E3">
        <w:rPr>
          <w:rFonts w:ascii="Arial" w:hAnsi="Arial" w:cs="Arial"/>
        </w:rPr>
        <w:t xml:space="preserve">esolución, en </w:t>
      </w:r>
      <w:r w:rsidR="00166825" w:rsidRPr="003D32E3">
        <w:rPr>
          <w:rFonts w:ascii="Arial" w:hAnsi="Arial" w:cs="Arial"/>
        </w:rPr>
        <w:t xml:space="preserve">donde se evidenció </w:t>
      </w:r>
      <w:r w:rsidR="0042343D" w:rsidRPr="003D32E3">
        <w:rPr>
          <w:rFonts w:ascii="Arial" w:hAnsi="Arial" w:cs="Arial"/>
        </w:rPr>
        <w:t xml:space="preserve">la </w:t>
      </w:r>
      <w:r w:rsidR="007314EC" w:rsidRPr="003D32E3">
        <w:rPr>
          <w:rFonts w:ascii="Arial" w:hAnsi="Arial" w:cs="Arial"/>
        </w:rPr>
        <w:t xml:space="preserve">respuesta de los </w:t>
      </w:r>
      <w:r w:rsidR="0042343D" w:rsidRPr="003D32E3">
        <w:rPr>
          <w:rFonts w:ascii="Arial" w:hAnsi="Arial" w:cs="Arial"/>
        </w:rPr>
        <w:t xml:space="preserve">miembros del </w:t>
      </w:r>
      <w:r w:rsidR="007314EC" w:rsidRPr="003D32E3">
        <w:rPr>
          <w:rFonts w:ascii="Arial" w:hAnsi="Arial" w:cs="Arial"/>
        </w:rPr>
        <w:t>C</w:t>
      </w:r>
      <w:r w:rsidR="0042343D" w:rsidRPr="003D32E3">
        <w:rPr>
          <w:rFonts w:ascii="Arial" w:hAnsi="Arial" w:cs="Arial"/>
        </w:rPr>
        <w:t xml:space="preserve">omité </w:t>
      </w:r>
      <w:r w:rsidR="007314EC" w:rsidRPr="003D32E3">
        <w:rPr>
          <w:rFonts w:ascii="Arial" w:hAnsi="Arial" w:cs="Arial"/>
        </w:rPr>
        <w:t xml:space="preserve">dentro de las 24 horas siguientes a la finalización de la sesión. </w:t>
      </w:r>
    </w:p>
    <w:p w:rsidR="00D9157C" w:rsidRPr="003D32E3" w:rsidRDefault="001B240F" w:rsidP="00530E51">
      <w:pPr>
        <w:jc w:val="both"/>
        <w:rPr>
          <w:rFonts w:ascii="Arial" w:hAnsi="Arial" w:cs="Arial"/>
        </w:rPr>
      </w:pPr>
      <w:r w:rsidRPr="003D32E3">
        <w:rPr>
          <w:rFonts w:ascii="Arial" w:hAnsi="Arial" w:cs="Arial"/>
        </w:rPr>
        <w:t xml:space="preserve">De las actas </w:t>
      </w:r>
      <w:r w:rsidR="000238B1" w:rsidRPr="003D32E3">
        <w:rPr>
          <w:rFonts w:ascii="Arial" w:hAnsi="Arial" w:cs="Arial"/>
        </w:rPr>
        <w:t xml:space="preserve">Nos. </w:t>
      </w:r>
      <w:r w:rsidRPr="003D32E3">
        <w:rPr>
          <w:rFonts w:ascii="Arial" w:hAnsi="Arial" w:cs="Arial"/>
        </w:rPr>
        <w:t xml:space="preserve">10 y 15, el área debió </w:t>
      </w:r>
      <w:r w:rsidR="003A682A" w:rsidRPr="003D32E3">
        <w:rPr>
          <w:rFonts w:ascii="Arial" w:hAnsi="Arial" w:cs="Arial"/>
        </w:rPr>
        <w:t xml:space="preserve">gestionar los soportes de la posición de los miembros del Comité en las sesiones correspondientes, </w:t>
      </w:r>
      <w:r w:rsidRPr="003D32E3">
        <w:rPr>
          <w:rFonts w:ascii="Arial" w:hAnsi="Arial" w:cs="Arial"/>
        </w:rPr>
        <w:t>ante la Oficina de Tecnologías de la Información - O</w:t>
      </w:r>
      <w:r w:rsidR="000238B1" w:rsidRPr="003D32E3">
        <w:rPr>
          <w:rFonts w:ascii="Arial" w:hAnsi="Arial" w:cs="Arial"/>
        </w:rPr>
        <w:t>TIC</w:t>
      </w:r>
      <w:r w:rsidRPr="003D32E3">
        <w:rPr>
          <w:rFonts w:ascii="Arial" w:hAnsi="Arial" w:cs="Arial"/>
        </w:rPr>
        <w:t>, dado que acorde con lo informado por la Secretaria Técnica, los archivos electrónicos no le fueron entregados por la anterior profesional encargada de dicha Secretaría. Producto</w:t>
      </w:r>
      <w:r w:rsidR="003A682A" w:rsidRPr="003D32E3">
        <w:rPr>
          <w:rFonts w:ascii="Arial" w:hAnsi="Arial" w:cs="Arial"/>
        </w:rPr>
        <w:t xml:space="preserve"> de la mencionada gestión</w:t>
      </w:r>
      <w:r w:rsidRPr="003D32E3">
        <w:rPr>
          <w:rFonts w:ascii="Arial" w:hAnsi="Arial" w:cs="Arial"/>
        </w:rPr>
        <w:t xml:space="preserve"> fuero</w:t>
      </w:r>
      <w:r w:rsidR="003A682A" w:rsidRPr="003D32E3">
        <w:rPr>
          <w:rFonts w:ascii="Arial" w:hAnsi="Arial" w:cs="Arial"/>
        </w:rPr>
        <w:t>n</w:t>
      </w:r>
      <w:r w:rsidR="00512B4E" w:rsidRPr="003D32E3">
        <w:rPr>
          <w:rFonts w:ascii="Arial" w:hAnsi="Arial" w:cs="Arial"/>
        </w:rPr>
        <w:t xml:space="preserve"> aportados a este seguimiento</w:t>
      </w:r>
      <w:r w:rsidRPr="003D32E3">
        <w:rPr>
          <w:rFonts w:ascii="Arial" w:hAnsi="Arial" w:cs="Arial"/>
        </w:rPr>
        <w:t xml:space="preserve">, correos enviados por los miembros </w:t>
      </w:r>
      <w:r w:rsidR="000238B1" w:rsidRPr="003D32E3">
        <w:rPr>
          <w:rFonts w:ascii="Arial" w:hAnsi="Arial" w:cs="Arial"/>
        </w:rPr>
        <w:t xml:space="preserve">del Comité </w:t>
      </w:r>
      <w:r w:rsidRPr="003D32E3">
        <w:rPr>
          <w:rFonts w:ascii="Arial" w:hAnsi="Arial" w:cs="Arial"/>
        </w:rPr>
        <w:t xml:space="preserve">durante las sesiones </w:t>
      </w:r>
      <w:r w:rsidR="000238B1" w:rsidRPr="003D32E3">
        <w:rPr>
          <w:rFonts w:ascii="Arial" w:hAnsi="Arial" w:cs="Arial"/>
        </w:rPr>
        <w:t xml:space="preserve">Nos. </w:t>
      </w:r>
      <w:r w:rsidRPr="003D32E3">
        <w:rPr>
          <w:rFonts w:ascii="Arial" w:hAnsi="Arial" w:cs="Arial"/>
        </w:rPr>
        <w:t xml:space="preserve">10 y 15. </w:t>
      </w:r>
      <w:r w:rsidR="006C5D92" w:rsidRPr="003D32E3">
        <w:rPr>
          <w:rFonts w:ascii="Arial" w:hAnsi="Arial" w:cs="Arial"/>
        </w:rPr>
        <w:t>R</w:t>
      </w:r>
      <w:r w:rsidR="006F5D78" w:rsidRPr="003D32E3">
        <w:rPr>
          <w:rFonts w:ascii="Arial" w:hAnsi="Arial" w:cs="Arial"/>
        </w:rPr>
        <w:t xml:space="preserve">especto de la sesión </w:t>
      </w:r>
      <w:r w:rsidR="000238B1" w:rsidRPr="003D32E3">
        <w:rPr>
          <w:rFonts w:ascii="Arial" w:hAnsi="Arial" w:cs="Arial"/>
        </w:rPr>
        <w:t xml:space="preserve">No. </w:t>
      </w:r>
      <w:r w:rsidR="006F5D78" w:rsidRPr="003D32E3">
        <w:rPr>
          <w:rFonts w:ascii="Arial" w:hAnsi="Arial" w:cs="Arial"/>
        </w:rPr>
        <w:t xml:space="preserve">20 solo se adjuntó citación a la sesión y confirmación </w:t>
      </w:r>
      <w:r w:rsidR="000E7D4E" w:rsidRPr="003D32E3">
        <w:rPr>
          <w:rFonts w:ascii="Arial" w:hAnsi="Arial" w:cs="Arial"/>
        </w:rPr>
        <w:t>de recibo por parte de los miembros</w:t>
      </w:r>
      <w:r w:rsidR="000238B1" w:rsidRPr="003D32E3">
        <w:rPr>
          <w:rFonts w:ascii="Arial" w:hAnsi="Arial" w:cs="Arial"/>
        </w:rPr>
        <w:t xml:space="preserve"> del Comité</w:t>
      </w:r>
      <w:r w:rsidR="007314EC" w:rsidRPr="003D32E3">
        <w:rPr>
          <w:rFonts w:ascii="Arial" w:hAnsi="Arial" w:cs="Arial"/>
        </w:rPr>
        <w:t>.</w:t>
      </w:r>
      <w:r w:rsidR="001B1300" w:rsidRPr="003D32E3">
        <w:rPr>
          <w:rFonts w:ascii="Arial" w:hAnsi="Arial" w:cs="Arial"/>
        </w:rPr>
        <w:t xml:space="preserve"> </w:t>
      </w:r>
      <w:r w:rsidR="007641EE" w:rsidRPr="003D32E3">
        <w:rPr>
          <w:rFonts w:ascii="Arial" w:hAnsi="Arial" w:cs="Arial"/>
        </w:rPr>
        <w:t>L</w:t>
      </w:r>
      <w:r w:rsidR="00174132" w:rsidRPr="003D32E3">
        <w:rPr>
          <w:rFonts w:ascii="Arial" w:hAnsi="Arial" w:cs="Arial"/>
        </w:rPr>
        <w:t xml:space="preserve">a Oficina de Control Interno </w:t>
      </w:r>
      <w:r w:rsidR="001B1300" w:rsidRPr="003D32E3">
        <w:rPr>
          <w:rFonts w:ascii="Arial" w:hAnsi="Arial" w:cs="Arial"/>
        </w:rPr>
        <w:t>pudo verificar que las actas se encuentran firmadas por los mie</w:t>
      </w:r>
      <w:r w:rsidR="00CA77CA" w:rsidRPr="003D32E3">
        <w:rPr>
          <w:rFonts w:ascii="Arial" w:hAnsi="Arial" w:cs="Arial"/>
        </w:rPr>
        <w:t xml:space="preserve">mbros del </w:t>
      </w:r>
      <w:r w:rsidR="007314EC" w:rsidRPr="003D32E3">
        <w:rPr>
          <w:rFonts w:ascii="Arial" w:hAnsi="Arial" w:cs="Arial"/>
        </w:rPr>
        <w:t>C</w:t>
      </w:r>
      <w:r w:rsidR="00CA77CA" w:rsidRPr="003D32E3">
        <w:rPr>
          <w:rFonts w:ascii="Arial" w:hAnsi="Arial" w:cs="Arial"/>
        </w:rPr>
        <w:t>omité</w:t>
      </w:r>
      <w:r w:rsidR="00B7537D" w:rsidRPr="003D32E3">
        <w:rPr>
          <w:rFonts w:ascii="Arial" w:hAnsi="Arial" w:cs="Arial"/>
        </w:rPr>
        <w:t xml:space="preserve"> en el formato </w:t>
      </w:r>
      <w:r w:rsidR="00B7537D" w:rsidRPr="003D32E3">
        <w:rPr>
          <w:rFonts w:ascii="Arial" w:hAnsi="Arial" w:cs="Arial"/>
        </w:rPr>
        <w:lastRenderedPageBreak/>
        <w:t>correspondiente</w:t>
      </w:r>
      <w:r w:rsidR="00BB4ACD" w:rsidRPr="003D32E3">
        <w:rPr>
          <w:rFonts w:ascii="Arial" w:hAnsi="Arial" w:cs="Arial"/>
        </w:rPr>
        <w:t>, lo que da cuenta de la ac</w:t>
      </w:r>
      <w:r w:rsidR="007314EC" w:rsidRPr="003D32E3">
        <w:rPr>
          <w:rFonts w:ascii="Arial" w:hAnsi="Arial" w:cs="Arial"/>
        </w:rPr>
        <w:t xml:space="preserve">eptación de las fichas técnicas y de las decisiones </w:t>
      </w:r>
      <w:r w:rsidR="00125477" w:rsidRPr="003D32E3">
        <w:rPr>
          <w:rFonts w:ascii="Arial" w:hAnsi="Arial" w:cs="Arial"/>
        </w:rPr>
        <w:t xml:space="preserve">aprobadas. </w:t>
      </w:r>
    </w:p>
    <w:p w:rsidR="00B13093" w:rsidRPr="001163A1" w:rsidRDefault="00B7537D" w:rsidP="00A24F93">
      <w:pPr>
        <w:jc w:val="both"/>
        <w:rPr>
          <w:rFonts w:ascii="Arial" w:hAnsi="Arial" w:cs="Arial"/>
        </w:rPr>
      </w:pPr>
      <w:r w:rsidRPr="001163A1">
        <w:rPr>
          <w:rFonts w:ascii="Arial" w:hAnsi="Arial" w:cs="Arial"/>
        </w:rPr>
        <w:t xml:space="preserve">En el acta No. 10 se </w:t>
      </w:r>
      <w:r w:rsidR="00CE5BFA" w:rsidRPr="001163A1">
        <w:rPr>
          <w:rFonts w:ascii="Arial" w:hAnsi="Arial" w:cs="Arial"/>
        </w:rPr>
        <w:t>observaron errores de transcripción</w:t>
      </w:r>
      <w:r w:rsidR="00B13093" w:rsidRPr="001163A1">
        <w:rPr>
          <w:rFonts w:ascii="Arial" w:hAnsi="Arial" w:cs="Arial"/>
        </w:rPr>
        <w:t>, particularmente en el orden del día</w:t>
      </w:r>
      <w:r w:rsidR="00670EBF" w:rsidRPr="001163A1">
        <w:rPr>
          <w:rFonts w:ascii="Arial" w:hAnsi="Arial" w:cs="Arial"/>
        </w:rPr>
        <w:t xml:space="preserve"> </w:t>
      </w:r>
      <w:r w:rsidR="00B13093" w:rsidRPr="001163A1">
        <w:rPr>
          <w:rFonts w:ascii="Arial" w:hAnsi="Arial" w:cs="Arial"/>
        </w:rPr>
        <w:t xml:space="preserve">se menciona el estudio de la ficha de la convocante CLARA DEL PILAR BOHORQUEZ, </w:t>
      </w:r>
      <w:r w:rsidR="00204F43" w:rsidRPr="001163A1">
        <w:rPr>
          <w:rFonts w:ascii="Arial" w:hAnsi="Arial" w:cs="Arial"/>
        </w:rPr>
        <w:t xml:space="preserve">una vez revisado el contenido </w:t>
      </w:r>
      <w:r w:rsidR="00B13093" w:rsidRPr="001163A1">
        <w:rPr>
          <w:rFonts w:ascii="Arial" w:hAnsi="Arial" w:cs="Arial"/>
        </w:rPr>
        <w:t xml:space="preserve">del acta no aparece el caso mencionado, </w:t>
      </w:r>
      <w:r w:rsidRPr="001163A1">
        <w:rPr>
          <w:rFonts w:ascii="Arial" w:hAnsi="Arial" w:cs="Arial"/>
        </w:rPr>
        <w:t xml:space="preserve">a pesar de haberse enviado </w:t>
      </w:r>
      <w:r w:rsidR="00B13093" w:rsidRPr="001163A1">
        <w:rPr>
          <w:rFonts w:ascii="Arial" w:hAnsi="Arial" w:cs="Arial"/>
        </w:rPr>
        <w:t>la ficha a los miemb</w:t>
      </w:r>
      <w:r w:rsidR="007578DA" w:rsidRPr="001163A1">
        <w:rPr>
          <w:rFonts w:ascii="Arial" w:hAnsi="Arial" w:cs="Arial"/>
        </w:rPr>
        <w:t>ros del Comité para su análisis</w:t>
      </w:r>
      <w:r w:rsidR="006D0425">
        <w:rPr>
          <w:rFonts w:ascii="Arial" w:hAnsi="Arial" w:cs="Arial"/>
        </w:rPr>
        <w:t>.</w:t>
      </w:r>
      <w:r w:rsidR="007578DA" w:rsidRPr="001163A1">
        <w:rPr>
          <w:rFonts w:ascii="Arial" w:hAnsi="Arial" w:cs="Arial"/>
        </w:rPr>
        <w:t xml:space="preserve"> </w:t>
      </w:r>
    </w:p>
    <w:p w:rsidR="00955D13" w:rsidRPr="001163A1" w:rsidRDefault="00B13093" w:rsidP="00591060">
      <w:pPr>
        <w:jc w:val="both"/>
        <w:rPr>
          <w:rFonts w:ascii="Arial" w:hAnsi="Arial" w:cs="Arial"/>
        </w:rPr>
      </w:pPr>
      <w:r w:rsidRPr="001163A1">
        <w:rPr>
          <w:rFonts w:ascii="Arial" w:hAnsi="Arial" w:cs="Arial"/>
        </w:rPr>
        <w:t>Otra de las funciones de l</w:t>
      </w:r>
      <w:r w:rsidR="00407685" w:rsidRPr="001163A1">
        <w:rPr>
          <w:rFonts w:ascii="Arial" w:hAnsi="Arial" w:cs="Arial"/>
        </w:rPr>
        <w:t>a Secretaria Técnica</w:t>
      </w:r>
      <w:r w:rsidRPr="001163A1">
        <w:rPr>
          <w:rFonts w:ascii="Arial" w:hAnsi="Arial" w:cs="Arial"/>
        </w:rPr>
        <w:t xml:space="preserve">, consiste en </w:t>
      </w:r>
      <w:r w:rsidR="00371409" w:rsidRPr="001163A1">
        <w:rPr>
          <w:rFonts w:ascii="Arial" w:hAnsi="Arial" w:cs="Arial"/>
        </w:rPr>
        <w:t>“Preparar un informe de la gestión del comité y de la ejecución de sus decisiones, que será entregado al representante legal del ente y a los miembros</w:t>
      </w:r>
      <w:r w:rsidR="003119C7" w:rsidRPr="001163A1">
        <w:rPr>
          <w:rFonts w:ascii="Arial" w:hAnsi="Arial" w:cs="Arial"/>
        </w:rPr>
        <w:t xml:space="preserve"> del comité cada seis (6) meses”</w:t>
      </w:r>
      <w:r w:rsidR="005D5B9D" w:rsidRPr="001163A1">
        <w:rPr>
          <w:rStyle w:val="Refdenotaalpie"/>
          <w:rFonts w:ascii="Arial" w:hAnsi="Arial" w:cs="Arial"/>
        </w:rPr>
        <w:footnoteReference w:id="1"/>
      </w:r>
      <w:r w:rsidR="007578DA" w:rsidRPr="001163A1">
        <w:rPr>
          <w:rFonts w:ascii="Arial" w:hAnsi="Arial" w:cs="Arial"/>
        </w:rPr>
        <w:t xml:space="preserve">; </w:t>
      </w:r>
      <w:r w:rsidR="00371409" w:rsidRPr="001163A1">
        <w:rPr>
          <w:rFonts w:ascii="Arial" w:hAnsi="Arial" w:cs="Arial"/>
        </w:rPr>
        <w:t>conforme lo anterior se pudo establecer que mediante</w:t>
      </w:r>
      <w:r w:rsidR="00407685" w:rsidRPr="001163A1">
        <w:rPr>
          <w:rFonts w:ascii="Arial" w:hAnsi="Arial" w:cs="Arial"/>
        </w:rPr>
        <w:t xml:space="preserve"> sesión No. 16, llevada a cabo el día 25 de julio de 2016,</w:t>
      </w:r>
      <w:r w:rsidR="00371409" w:rsidRPr="001163A1">
        <w:rPr>
          <w:rFonts w:ascii="Arial" w:hAnsi="Arial" w:cs="Arial"/>
        </w:rPr>
        <w:t xml:space="preserve"> se</w:t>
      </w:r>
      <w:r w:rsidR="00407685" w:rsidRPr="001163A1">
        <w:rPr>
          <w:rFonts w:ascii="Arial" w:hAnsi="Arial" w:cs="Arial"/>
        </w:rPr>
        <w:t xml:space="preserve"> present</w:t>
      </w:r>
      <w:r w:rsidR="00955D13" w:rsidRPr="001163A1">
        <w:rPr>
          <w:rFonts w:ascii="Arial" w:hAnsi="Arial" w:cs="Arial"/>
        </w:rPr>
        <w:t>ó</w:t>
      </w:r>
      <w:r w:rsidR="00407685" w:rsidRPr="001163A1">
        <w:rPr>
          <w:rFonts w:ascii="Arial" w:hAnsi="Arial" w:cs="Arial"/>
        </w:rPr>
        <w:t xml:space="preserve"> </w:t>
      </w:r>
      <w:r w:rsidR="00BF1B86" w:rsidRPr="001163A1">
        <w:rPr>
          <w:rFonts w:ascii="Arial" w:hAnsi="Arial" w:cs="Arial"/>
        </w:rPr>
        <w:t xml:space="preserve">el </w:t>
      </w:r>
      <w:r w:rsidR="00407685" w:rsidRPr="001163A1">
        <w:rPr>
          <w:rFonts w:ascii="Arial" w:hAnsi="Arial" w:cs="Arial"/>
        </w:rPr>
        <w:t>informe del primer semestre de la vigencia</w:t>
      </w:r>
      <w:r w:rsidR="00955D13" w:rsidRPr="001163A1">
        <w:rPr>
          <w:rFonts w:ascii="Arial" w:hAnsi="Arial" w:cs="Arial"/>
        </w:rPr>
        <w:t xml:space="preserve"> a través de la</w:t>
      </w:r>
      <w:r w:rsidR="00407685" w:rsidRPr="001163A1">
        <w:rPr>
          <w:rFonts w:ascii="Arial" w:hAnsi="Arial" w:cs="Arial"/>
        </w:rPr>
        <w:t xml:space="preserve"> matriz</w:t>
      </w:r>
      <w:r w:rsidR="00955D13" w:rsidRPr="001163A1">
        <w:rPr>
          <w:rFonts w:ascii="Arial" w:hAnsi="Arial" w:cs="Arial"/>
        </w:rPr>
        <w:t xml:space="preserve"> denominada</w:t>
      </w:r>
      <w:r w:rsidR="00407685" w:rsidRPr="001163A1">
        <w:rPr>
          <w:rFonts w:ascii="Arial" w:hAnsi="Arial" w:cs="Arial"/>
        </w:rPr>
        <w:t xml:space="preserve"> “Formato único de Gestión de Comités de Conciliación”</w:t>
      </w:r>
      <w:r w:rsidR="001A469C" w:rsidRPr="001163A1">
        <w:rPr>
          <w:rFonts w:ascii="Arial" w:hAnsi="Arial" w:cs="Arial"/>
        </w:rPr>
        <w:t>, suministrada por la Agencia Nacional de Defensa Jurídica del Estado</w:t>
      </w:r>
      <w:r w:rsidR="00955D13" w:rsidRPr="001163A1">
        <w:rPr>
          <w:rFonts w:ascii="Arial" w:hAnsi="Arial" w:cs="Arial"/>
        </w:rPr>
        <w:t>.</w:t>
      </w:r>
    </w:p>
    <w:p w:rsidR="000C3EDA" w:rsidRPr="001163A1" w:rsidRDefault="00AC648A" w:rsidP="00591060">
      <w:pPr>
        <w:jc w:val="both"/>
        <w:rPr>
          <w:rFonts w:ascii="Arial" w:hAnsi="Arial" w:cs="Arial"/>
        </w:rPr>
      </w:pPr>
      <w:r w:rsidRPr="001163A1">
        <w:rPr>
          <w:rFonts w:ascii="Arial" w:hAnsi="Arial" w:cs="Arial"/>
        </w:rPr>
        <w:t>A pesar de no ser necesario, enviar</w:t>
      </w:r>
      <w:r w:rsidR="00BF1B86" w:rsidRPr="001163A1">
        <w:rPr>
          <w:rFonts w:ascii="Arial" w:hAnsi="Arial" w:cs="Arial"/>
        </w:rPr>
        <w:t xml:space="preserve"> la matriz antes enunciada a la </w:t>
      </w:r>
      <w:r w:rsidR="00407685" w:rsidRPr="001163A1">
        <w:rPr>
          <w:rFonts w:ascii="Arial" w:hAnsi="Arial" w:cs="Arial"/>
        </w:rPr>
        <w:t>Agencia Nacional de Defensa Jurídica del Estado</w:t>
      </w:r>
      <w:r w:rsidR="00955D13" w:rsidRPr="001163A1">
        <w:rPr>
          <w:rFonts w:ascii="Arial" w:hAnsi="Arial" w:cs="Arial"/>
        </w:rPr>
        <w:t>,</w:t>
      </w:r>
      <w:r w:rsidR="00BF1B86" w:rsidRPr="001163A1">
        <w:rPr>
          <w:rFonts w:ascii="Arial" w:hAnsi="Arial" w:cs="Arial"/>
        </w:rPr>
        <w:t xml:space="preserve"> se evidenció la remisión de éste correspondiente al segundo semestre</w:t>
      </w:r>
      <w:r w:rsidR="00955D13" w:rsidRPr="001163A1">
        <w:rPr>
          <w:rFonts w:ascii="Arial" w:hAnsi="Arial" w:cs="Arial"/>
        </w:rPr>
        <w:t xml:space="preserve">.  </w:t>
      </w:r>
      <w:r w:rsidR="00BF1B86" w:rsidRPr="001163A1">
        <w:rPr>
          <w:rFonts w:ascii="Arial" w:hAnsi="Arial" w:cs="Arial"/>
        </w:rPr>
        <w:t xml:space="preserve">A la fecha del seguimiento no se observó la presentación del informe del segundo semestre de 2016 a los </w:t>
      </w:r>
      <w:r w:rsidR="001B49A4" w:rsidRPr="001163A1">
        <w:rPr>
          <w:rFonts w:ascii="Arial" w:hAnsi="Arial" w:cs="Arial"/>
        </w:rPr>
        <w:t xml:space="preserve">miembros del </w:t>
      </w:r>
      <w:r w:rsidR="00955D13" w:rsidRPr="001163A1">
        <w:rPr>
          <w:rFonts w:ascii="Arial" w:hAnsi="Arial" w:cs="Arial"/>
        </w:rPr>
        <w:t>C</w:t>
      </w:r>
      <w:r w:rsidR="001B49A4" w:rsidRPr="001163A1">
        <w:rPr>
          <w:rFonts w:ascii="Arial" w:hAnsi="Arial" w:cs="Arial"/>
        </w:rPr>
        <w:t>omité y al Representante legal</w:t>
      </w:r>
      <w:r w:rsidR="00BF1B86" w:rsidRPr="001163A1">
        <w:rPr>
          <w:rFonts w:ascii="Arial" w:hAnsi="Arial" w:cs="Arial"/>
        </w:rPr>
        <w:t>.</w:t>
      </w:r>
      <w:r w:rsidR="001B49A4" w:rsidRPr="001163A1">
        <w:rPr>
          <w:rFonts w:ascii="Arial" w:hAnsi="Arial" w:cs="Arial"/>
        </w:rPr>
        <w:t xml:space="preserve"> </w:t>
      </w:r>
    </w:p>
    <w:p w:rsidR="00E25780" w:rsidRPr="001163A1" w:rsidRDefault="00204F43" w:rsidP="00E25780">
      <w:pPr>
        <w:jc w:val="both"/>
        <w:rPr>
          <w:rFonts w:ascii="Arial" w:hAnsi="Arial" w:cs="Arial"/>
          <w:color w:val="0070C0"/>
        </w:rPr>
      </w:pPr>
      <w:r w:rsidRPr="001163A1">
        <w:rPr>
          <w:rFonts w:ascii="Arial" w:hAnsi="Arial" w:cs="Arial"/>
        </w:rPr>
        <w:t>De acuerdo con la anterior función</w:t>
      </w:r>
      <w:r w:rsidR="001A469C" w:rsidRPr="001163A1">
        <w:rPr>
          <w:rFonts w:ascii="Arial" w:hAnsi="Arial" w:cs="Arial"/>
        </w:rPr>
        <w:t xml:space="preserve">, </w:t>
      </w:r>
      <w:r w:rsidR="00E25780" w:rsidRPr="001163A1">
        <w:rPr>
          <w:rFonts w:ascii="Arial" w:hAnsi="Arial" w:cs="Arial"/>
        </w:rPr>
        <w:t xml:space="preserve">se pudo establecer que </w:t>
      </w:r>
      <w:r w:rsidR="001A469C" w:rsidRPr="001163A1">
        <w:rPr>
          <w:rFonts w:ascii="Arial" w:hAnsi="Arial" w:cs="Arial"/>
        </w:rPr>
        <w:t>la Secretaria Técnica</w:t>
      </w:r>
      <w:r w:rsidR="00E25780" w:rsidRPr="001163A1">
        <w:rPr>
          <w:rFonts w:ascii="Arial" w:hAnsi="Arial" w:cs="Arial"/>
        </w:rPr>
        <w:t xml:space="preserve"> </w:t>
      </w:r>
      <w:r w:rsidR="001A469C" w:rsidRPr="001163A1">
        <w:rPr>
          <w:rFonts w:ascii="Arial" w:hAnsi="Arial" w:cs="Arial"/>
        </w:rPr>
        <w:t xml:space="preserve">para diligenciar el </w:t>
      </w:r>
      <w:r w:rsidR="00E25780" w:rsidRPr="001163A1">
        <w:rPr>
          <w:rFonts w:ascii="Arial" w:hAnsi="Arial" w:cs="Arial"/>
        </w:rPr>
        <w:t>Formato de</w:t>
      </w:r>
      <w:r w:rsidR="00CA184D" w:rsidRPr="001163A1">
        <w:rPr>
          <w:rFonts w:ascii="Arial" w:hAnsi="Arial" w:cs="Arial"/>
        </w:rPr>
        <w:t xml:space="preserve"> Gestión de Comité de Conciliación, tiene como base</w:t>
      </w:r>
      <w:r w:rsidR="00E25780" w:rsidRPr="001163A1">
        <w:rPr>
          <w:rFonts w:ascii="Arial" w:hAnsi="Arial" w:cs="Arial"/>
        </w:rPr>
        <w:t>: 1. L</w:t>
      </w:r>
      <w:r w:rsidR="00CA184D" w:rsidRPr="001163A1">
        <w:rPr>
          <w:rFonts w:ascii="Arial" w:hAnsi="Arial" w:cs="Arial"/>
        </w:rPr>
        <w:t>a información que tramita en la matriz en Excel denominada “Registro de conciliaciones”</w:t>
      </w:r>
      <w:r w:rsidR="00E25780" w:rsidRPr="001163A1">
        <w:rPr>
          <w:rFonts w:ascii="Arial" w:hAnsi="Arial" w:cs="Arial"/>
        </w:rPr>
        <w:t xml:space="preserve"> y 2. L</w:t>
      </w:r>
      <w:r w:rsidR="00CA184D" w:rsidRPr="001163A1">
        <w:rPr>
          <w:rFonts w:ascii="Arial" w:hAnsi="Arial" w:cs="Arial"/>
        </w:rPr>
        <w:t>a carpeta en físico denominada “Comité de Conciliación y Defensa Judicial”</w:t>
      </w:r>
      <w:r w:rsidR="00E25780" w:rsidRPr="001163A1">
        <w:rPr>
          <w:rFonts w:ascii="Arial" w:hAnsi="Arial" w:cs="Arial"/>
        </w:rPr>
        <w:t>.</w:t>
      </w:r>
    </w:p>
    <w:p w:rsidR="00693013" w:rsidRPr="001163A1" w:rsidRDefault="00841EED" w:rsidP="00841EED">
      <w:pPr>
        <w:jc w:val="both"/>
        <w:rPr>
          <w:rFonts w:ascii="Arial" w:hAnsi="Arial" w:cs="Arial"/>
        </w:rPr>
      </w:pPr>
      <w:r w:rsidRPr="001163A1">
        <w:rPr>
          <w:rFonts w:ascii="Arial" w:hAnsi="Arial" w:cs="Arial"/>
        </w:rPr>
        <w:t>Una vez revisadas la matriz se evidencia que n</w:t>
      </w:r>
      <w:r w:rsidR="002F7AFE" w:rsidRPr="001163A1">
        <w:rPr>
          <w:rFonts w:ascii="Arial" w:hAnsi="Arial" w:cs="Arial"/>
        </w:rPr>
        <w:t>o aparece relacionada la solicitu</w:t>
      </w:r>
      <w:r w:rsidR="00693013" w:rsidRPr="001163A1">
        <w:rPr>
          <w:rFonts w:ascii="Arial" w:hAnsi="Arial" w:cs="Arial"/>
        </w:rPr>
        <w:t xml:space="preserve">d de conciliación de la señora HEYDA AVÍLES </w:t>
      </w:r>
      <w:r w:rsidR="00E25780" w:rsidRPr="001163A1">
        <w:rPr>
          <w:rFonts w:ascii="Arial" w:hAnsi="Arial" w:cs="Arial"/>
        </w:rPr>
        <w:t>RAMÍREZ, su</w:t>
      </w:r>
      <w:r w:rsidR="001730C4" w:rsidRPr="001163A1">
        <w:rPr>
          <w:rFonts w:ascii="Arial" w:hAnsi="Arial" w:cs="Arial"/>
        </w:rPr>
        <w:t xml:space="preserve"> ficha fue objeto de estudio y aprobación como consta en</w:t>
      </w:r>
      <w:r w:rsidR="002F7AFE" w:rsidRPr="001163A1">
        <w:rPr>
          <w:rFonts w:ascii="Arial" w:hAnsi="Arial" w:cs="Arial"/>
        </w:rPr>
        <w:t xml:space="preserve"> acta de la sesión No. 22 </w:t>
      </w:r>
      <w:r w:rsidR="001730C4" w:rsidRPr="001163A1">
        <w:rPr>
          <w:rFonts w:ascii="Arial" w:hAnsi="Arial" w:cs="Arial"/>
        </w:rPr>
        <w:t xml:space="preserve">del 06 de </w:t>
      </w:r>
      <w:r w:rsidR="00F70DA8" w:rsidRPr="001163A1">
        <w:rPr>
          <w:rFonts w:ascii="Arial" w:hAnsi="Arial" w:cs="Arial"/>
        </w:rPr>
        <w:t>octubre</w:t>
      </w:r>
      <w:r w:rsidR="00CA184D" w:rsidRPr="001163A1">
        <w:rPr>
          <w:rFonts w:ascii="Arial" w:hAnsi="Arial" w:cs="Arial"/>
        </w:rPr>
        <w:t xml:space="preserve"> de 2016. </w:t>
      </w:r>
      <w:r w:rsidR="001730C4" w:rsidRPr="001163A1">
        <w:rPr>
          <w:rFonts w:ascii="Arial" w:hAnsi="Arial" w:cs="Arial"/>
        </w:rPr>
        <w:t xml:space="preserve"> </w:t>
      </w:r>
      <w:r w:rsidRPr="001163A1">
        <w:rPr>
          <w:rFonts w:ascii="Arial" w:hAnsi="Arial" w:cs="Arial"/>
        </w:rPr>
        <w:t xml:space="preserve">Se informa a la </w:t>
      </w:r>
      <w:r w:rsidR="001730C4" w:rsidRPr="001163A1">
        <w:rPr>
          <w:rFonts w:ascii="Arial" w:hAnsi="Arial" w:cs="Arial"/>
        </w:rPr>
        <w:t xml:space="preserve">Secretaria del Comité </w:t>
      </w:r>
      <w:r w:rsidRPr="001163A1">
        <w:rPr>
          <w:rFonts w:ascii="Arial" w:hAnsi="Arial" w:cs="Arial"/>
        </w:rPr>
        <w:t xml:space="preserve">y ésta procede a </w:t>
      </w:r>
      <w:r w:rsidR="00E25780" w:rsidRPr="001163A1">
        <w:rPr>
          <w:rFonts w:ascii="Arial" w:hAnsi="Arial" w:cs="Arial"/>
        </w:rPr>
        <w:t>inclu</w:t>
      </w:r>
      <w:r w:rsidRPr="001163A1">
        <w:rPr>
          <w:rFonts w:ascii="Arial" w:hAnsi="Arial" w:cs="Arial"/>
        </w:rPr>
        <w:t>irla en la matriz de seguimiento</w:t>
      </w:r>
      <w:r w:rsidR="00E25780" w:rsidRPr="001163A1">
        <w:rPr>
          <w:rFonts w:ascii="Arial" w:hAnsi="Arial" w:cs="Arial"/>
        </w:rPr>
        <w:t>.</w:t>
      </w:r>
      <w:r w:rsidRPr="001163A1">
        <w:rPr>
          <w:rFonts w:ascii="Arial" w:hAnsi="Arial" w:cs="Arial"/>
        </w:rPr>
        <w:t xml:space="preserve"> No obstante, lo anterior se realizó el registro de la ficha en el Sistema Ekogui y se reportó en el </w:t>
      </w:r>
      <w:r w:rsidR="00CA184D" w:rsidRPr="001163A1">
        <w:rPr>
          <w:rFonts w:ascii="Arial" w:hAnsi="Arial" w:cs="Arial"/>
        </w:rPr>
        <w:t>“Formato de Gestión del Comité”</w:t>
      </w:r>
      <w:r w:rsidRPr="001163A1">
        <w:rPr>
          <w:rFonts w:ascii="Arial" w:hAnsi="Arial" w:cs="Arial"/>
        </w:rPr>
        <w:t>.</w:t>
      </w:r>
      <w:r w:rsidR="0029616B" w:rsidRPr="001163A1">
        <w:rPr>
          <w:rFonts w:ascii="Arial" w:hAnsi="Arial" w:cs="Arial"/>
        </w:rPr>
        <w:t xml:space="preserve"> </w:t>
      </w:r>
    </w:p>
    <w:p w:rsidR="002F7AFE" w:rsidRPr="001163A1" w:rsidRDefault="001730C4" w:rsidP="00841EED">
      <w:pPr>
        <w:jc w:val="both"/>
        <w:rPr>
          <w:rFonts w:ascii="Arial" w:hAnsi="Arial" w:cs="Arial"/>
        </w:rPr>
      </w:pPr>
      <w:r w:rsidRPr="001163A1">
        <w:rPr>
          <w:rFonts w:ascii="Arial" w:hAnsi="Arial" w:cs="Arial"/>
        </w:rPr>
        <w:t xml:space="preserve">En </w:t>
      </w:r>
      <w:r w:rsidR="00841EED" w:rsidRPr="001163A1">
        <w:rPr>
          <w:rFonts w:ascii="Arial" w:hAnsi="Arial" w:cs="Arial"/>
        </w:rPr>
        <w:t xml:space="preserve">la misma acta No. 22 </w:t>
      </w:r>
      <w:r w:rsidRPr="001163A1">
        <w:rPr>
          <w:rFonts w:ascii="Arial" w:hAnsi="Arial" w:cs="Arial"/>
        </w:rPr>
        <w:t>se observ</w:t>
      </w:r>
      <w:r w:rsidR="00841EED" w:rsidRPr="001163A1">
        <w:rPr>
          <w:rFonts w:ascii="Arial" w:hAnsi="Arial" w:cs="Arial"/>
        </w:rPr>
        <w:t>ó</w:t>
      </w:r>
      <w:r w:rsidRPr="001163A1">
        <w:rPr>
          <w:rFonts w:ascii="Arial" w:hAnsi="Arial" w:cs="Arial"/>
        </w:rPr>
        <w:t xml:space="preserve"> </w:t>
      </w:r>
      <w:r w:rsidR="00693013" w:rsidRPr="001163A1">
        <w:rPr>
          <w:rFonts w:ascii="Arial" w:hAnsi="Arial" w:cs="Arial"/>
        </w:rPr>
        <w:t xml:space="preserve">un pequeño error de </w:t>
      </w:r>
      <w:r w:rsidR="00841EED" w:rsidRPr="001163A1">
        <w:rPr>
          <w:rFonts w:ascii="Arial" w:hAnsi="Arial" w:cs="Arial"/>
        </w:rPr>
        <w:t>transcripción, no se</w:t>
      </w:r>
      <w:r w:rsidR="002F7AFE" w:rsidRPr="001163A1">
        <w:rPr>
          <w:rFonts w:ascii="Arial" w:hAnsi="Arial" w:cs="Arial"/>
        </w:rPr>
        <w:t xml:space="preserve"> incluyó en el orden del día la ficha de la convocante LUZ MARINA ZIRENE, sin </w:t>
      </w:r>
      <w:r w:rsidR="00841EED" w:rsidRPr="001163A1">
        <w:rPr>
          <w:rFonts w:ascii="Arial" w:hAnsi="Arial" w:cs="Arial"/>
        </w:rPr>
        <w:t>embargo,</w:t>
      </w:r>
      <w:r w:rsidR="002F7AFE" w:rsidRPr="001163A1">
        <w:rPr>
          <w:rFonts w:ascii="Arial" w:hAnsi="Arial" w:cs="Arial"/>
        </w:rPr>
        <w:t xml:space="preserve"> </w:t>
      </w:r>
      <w:r w:rsidR="00693013" w:rsidRPr="001163A1">
        <w:rPr>
          <w:rFonts w:ascii="Arial" w:hAnsi="Arial" w:cs="Arial"/>
        </w:rPr>
        <w:t xml:space="preserve">en el desarrollo del acta se encuentra el estudio </w:t>
      </w:r>
      <w:r w:rsidR="003B5E8C" w:rsidRPr="001163A1">
        <w:rPr>
          <w:rFonts w:ascii="Arial" w:hAnsi="Arial" w:cs="Arial"/>
        </w:rPr>
        <w:t xml:space="preserve">de ésta; así mismo, el caso fue remitido a los </w:t>
      </w:r>
      <w:r w:rsidR="002F7AFE" w:rsidRPr="001163A1">
        <w:rPr>
          <w:rFonts w:ascii="Arial" w:hAnsi="Arial" w:cs="Arial"/>
        </w:rPr>
        <w:t>miembros del Comité para su estudio.</w:t>
      </w:r>
      <w:r w:rsidR="0029616B" w:rsidRPr="001163A1">
        <w:rPr>
          <w:rFonts w:ascii="Arial" w:hAnsi="Arial" w:cs="Arial"/>
        </w:rPr>
        <w:t xml:space="preserve"> </w:t>
      </w:r>
    </w:p>
    <w:p w:rsidR="004E72D6" w:rsidRDefault="001730C4" w:rsidP="001730C4">
      <w:pPr>
        <w:jc w:val="both"/>
        <w:rPr>
          <w:rFonts w:ascii="Arial" w:hAnsi="Arial" w:cs="Arial"/>
        </w:rPr>
      </w:pPr>
      <w:r w:rsidRPr="001163A1">
        <w:rPr>
          <w:rFonts w:ascii="Arial" w:hAnsi="Arial" w:cs="Arial"/>
        </w:rPr>
        <w:t xml:space="preserve">Otra de las actividades que realizó la Secretaría Técnica fue </w:t>
      </w:r>
      <w:r w:rsidR="00530E51" w:rsidRPr="001163A1">
        <w:rPr>
          <w:rFonts w:ascii="Arial" w:hAnsi="Arial" w:cs="Arial"/>
        </w:rPr>
        <w:t xml:space="preserve">la formulación y diseño de políticas de prevención del daño antijurídico y de defensa de los intereses del </w:t>
      </w:r>
      <w:r w:rsidR="00581887" w:rsidRPr="001163A1">
        <w:rPr>
          <w:rFonts w:ascii="Arial" w:hAnsi="Arial" w:cs="Arial"/>
        </w:rPr>
        <w:t>Departamento</w:t>
      </w:r>
      <w:r w:rsidR="003B5E8C" w:rsidRPr="001163A1">
        <w:rPr>
          <w:rFonts w:ascii="Arial" w:hAnsi="Arial" w:cs="Arial"/>
        </w:rPr>
        <w:t xml:space="preserve"> (noviembre 2016), </w:t>
      </w:r>
      <w:r w:rsidR="00BB0196" w:rsidRPr="001163A1">
        <w:rPr>
          <w:rFonts w:ascii="Arial" w:hAnsi="Arial" w:cs="Arial"/>
        </w:rPr>
        <w:t>la cual se sometió</w:t>
      </w:r>
      <w:r w:rsidR="00821722" w:rsidRPr="001163A1">
        <w:rPr>
          <w:rFonts w:ascii="Arial" w:hAnsi="Arial" w:cs="Arial"/>
        </w:rPr>
        <w:t xml:space="preserve"> </w:t>
      </w:r>
      <w:r w:rsidR="00BB0196" w:rsidRPr="001163A1">
        <w:rPr>
          <w:rFonts w:ascii="Arial" w:hAnsi="Arial" w:cs="Arial"/>
        </w:rPr>
        <w:t>a consideración del comité para su aprobación y envió a la Agencia Nacional de Defensa Jurídica del Estado, como se evidencia en la información enviada por el Grupo de Defensa Judicial.</w:t>
      </w:r>
    </w:p>
    <w:p w:rsidR="00331C3D" w:rsidRDefault="00331C3D" w:rsidP="008F6CFF">
      <w:pPr>
        <w:jc w:val="both"/>
        <w:rPr>
          <w:rFonts w:ascii="Arial" w:hAnsi="Arial" w:cs="Arial"/>
          <w:b/>
        </w:rPr>
      </w:pPr>
    </w:p>
    <w:p w:rsidR="00331C3D" w:rsidRDefault="00331C3D" w:rsidP="008F6CFF">
      <w:pPr>
        <w:jc w:val="both"/>
        <w:rPr>
          <w:rFonts w:ascii="Arial" w:hAnsi="Arial" w:cs="Arial"/>
          <w:b/>
        </w:rPr>
      </w:pPr>
    </w:p>
    <w:p w:rsidR="00BF5F4D" w:rsidRDefault="00BF5F4D" w:rsidP="008F6CFF">
      <w:pPr>
        <w:jc w:val="both"/>
        <w:rPr>
          <w:rFonts w:ascii="Arial" w:hAnsi="Arial" w:cs="Arial"/>
          <w:b/>
        </w:rPr>
      </w:pPr>
      <w:r w:rsidRPr="001163A1">
        <w:rPr>
          <w:rFonts w:ascii="Arial" w:hAnsi="Arial" w:cs="Arial"/>
          <w:b/>
        </w:rPr>
        <w:t xml:space="preserve">Conclusiones </w:t>
      </w:r>
      <w:r w:rsidR="003B5E8C" w:rsidRPr="001163A1">
        <w:rPr>
          <w:rFonts w:ascii="Arial" w:hAnsi="Arial" w:cs="Arial"/>
          <w:b/>
        </w:rPr>
        <w:t>y Recomendaciones</w:t>
      </w:r>
    </w:p>
    <w:p w:rsidR="000238B1" w:rsidRPr="008F6CFF" w:rsidRDefault="000238B1" w:rsidP="008F6CFF">
      <w:pPr>
        <w:jc w:val="both"/>
        <w:rPr>
          <w:rFonts w:ascii="Arial" w:hAnsi="Arial" w:cs="Arial"/>
          <w:b/>
        </w:rPr>
      </w:pPr>
    </w:p>
    <w:p w:rsidR="007A0257" w:rsidRPr="003D32E3" w:rsidRDefault="003B5E8C" w:rsidP="007A0257">
      <w:pPr>
        <w:pStyle w:val="Prrafodelista"/>
        <w:numPr>
          <w:ilvl w:val="0"/>
          <w:numId w:val="16"/>
        </w:numPr>
        <w:spacing w:after="0" w:line="240" w:lineRule="auto"/>
        <w:jc w:val="both"/>
        <w:rPr>
          <w:rFonts w:ascii="Arial" w:hAnsi="Arial" w:cs="Arial"/>
          <w:b/>
        </w:rPr>
      </w:pPr>
      <w:r w:rsidRPr="001163A1">
        <w:rPr>
          <w:rFonts w:ascii="Arial" w:hAnsi="Arial" w:cs="Arial"/>
        </w:rPr>
        <w:t>E</w:t>
      </w:r>
      <w:r w:rsidR="007A0257" w:rsidRPr="001163A1">
        <w:rPr>
          <w:rFonts w:ascii="Arial" w:hAnsi="Arial" w:cs="Arial"/>
        </w:rPr>
        <w:t xml:space="preserve">l Comité de Conciliación del </w:t>
      </w:r>
      <w:r w:rsidR="00326797" w:rsidRPr="001163A1">
        <w:rPr>
          <w:rFonts w:ascii="Arial" w:hAnsi="Arial" w:cs="Arial"/>
        </w:rPr>
        <w:t>D</w:t>
      </w:r>
      <w:r w:rsidR="007A0257" w:rsidRPr="001163A1">
        <w:rPr>
          <w:rFonts w:ascii="Arial" w:hAnsi="Arial" w:cs="Arial"/>
        </w:rPr>
        <w:t>epartamento Administrativo de la Función Pública, cumplió con las funciones establecidas en la</w:t>
      </w:r>
      <w:r w:rsidR="00326797" w:rsidRPr="001163A1">
        <w:rPr>
          <w:rFonts w:ascii="Arial" w:hAnsi="Arial" w:cs="Arial"/>
        </w:rPr>
        <w:t xml:space="preserve"> Ley</w:t>
      </w:r>
      <w:r w:rsidR="00F70DA8" w:rsidRPr="001163A1">
        <w:rPr>
          <w:rFonts w:ascii="Arial" w:hAnsi="Arial" w:cs="Arial"/>
        </w:rPr>
        <w:t xml:space="preserve"> durante la vigencia 2016, </w:t>
      </w:r>
      <w:r w:rsidR="00681311" w:rsidRPr="001163A1">
        <w:rPr>
          <w:rFonts w:ascii="Arial" w:hAnsi="Arial" w:cs="Arial"/>
        </w:rPr>
        <w:t xml:space="preserve">entre ellas se destaca </w:t>
      </w:r>
      <w:r w:rsidR="00F70DA8" w:rsidRPr="001163A1">
        <w:rPr>
          <w:rFonts w:ascii="Arial" w:hAnsi="Arial" w:cs="Arial"/>
        </w:rPr>
        <w:t>la actualización de</w:t>
      </w:r>
      <w:r w:rsidR="00326797" w:rsidRPr="001163A1">
        <w:rPr>
          <w:rFonts w:ascii="Arial" w:hAnsi="Arial" w:cs="Arial"/>
        </w:rPr>
        <w:t xml:space="preserve"> la Política de prevención del Daño Antijurídico</w:t>
      </w:r>
      <w:r w:rsidR="00F70DA8" w:rsidRPr="001163A1">
        <w:rPr>
          <w:rFonts w:ascii="Arial" w:hAnsi="Arial" w:cs="Arial"/>
        </w:rPr>
        <w:t xml:space="preserve"> (</w:t>
      </w:r>
      <w:r w:rsidR="00326797" w:rsidRPr="001163A1">
        <w:rPr>
          <w:rFonts w:ascii="Arial" w:hAnsi="Arial" w:cs="Arial"/>
        </w:rPr>
        <w:t xml:space="preserve">apoyo del </w:t>
      </w:r>
      <w:r w:rsidR="00F70DA8" w:rsidRPr="001163A1">
        <w:rPr>
          <w:rFonts w:ascii="Arial" w:hAnsi="Arial" w:cs="Arial"/>
        </w:rPr>
        <w:t>G</w:t>
      </w:r>
      <w:r w:rsidR="00326797" w:rsidRPr="001163A1">
        <w:rPr>
          <w:rFonts w:ascii="Arial" w:hAnsi="Arial" w:cs="Arial"/>
        </w:rPr>
        <w:t>rupo de Defens</w:t>
      </w:r>
      <w:r w:rsidR="00326797" w:rsidRPr="003D32E3">
        <w:rPr>
          <w:rFonts w:ascii="Arial" w:hAnsi="Arial" w:cs="Arial"/>
        </w:rPr>
        <w:t>a Jurídica</w:t>
      </w:r>
      <w:r w:rsidR="00F70DA8" w:rsidRPr="003D32E3">
        <w:rPr>
          <w:rFonts w:ascii="Arial" w:hAnsi="Arial" w:cs="Arial"/>
        </w:rPr>
        <w:t>)</w:t>
      </w:r>
      <w:r w:rsidR="00326797" w:rsidRPr="003D32E3">
        <w:rPr>
          <w:rFonts w:ascii="Arial" w:hAnsi="Arial" w:cs="Arial"/>
        </w:rPr>
        <w:t xml:space="preserve">.  </w:t>
      </w:r>
      <w:r w:rsidR="0029616B" w:rsidRPr="003D32E3">
        <w:rPr>
          <w:rFonts w:ascii="Arial" w:hAnsi="Arial" w:cs="Arial"/>
        </w:rPr>
        <w:t xml:space="preserve"> </w:t>
      </w:r>
    </w:p>
    <w:p w:rsidR="00B15441" w:rsidRPr="003D32E3" w:rsidRDefault="00B15441" w:rsidP="00B15441">
      <w:pPr>
        <w:spacing w:after="0" w:line="240" w:lineRule="auto"/>
        <w:jc w:val="both"/>
        <w:rPr>
          <w:rFonts w:ascii="Arial" w:hAnsi="Arial" w:cs="Arial"/>
          <w:b/>
        </w:rPr>
      </w:pPr>
    </w:p>
    <w:p w:rsidR="00283D8A" w:rsidRPr="003D32E3" w:rsidRDefault="00283D8A" w:rsidP="00985D6A">
      <w:pPr>
        <w:pStyle w:val="Prrafodelista"/>
        <w:numPr>
          <w:ilvl w:val="0"/>
          <w:numId w:val="16"/>
        </w:numPr>
        <w:spacing w:after="0" w:line="240" w:lineRule="auto"/>
        <w:jc w:val="both"/>
        <w:rPr>
          <w:rFonts w:ascii="Arial" w:hAnsi="Arial" w:cs="Arial"/>
        </w:rPr>
      </w:pPr>
      <w:r w:rsidRPr="003D32E3">
        <w:rPr>
          <w:rFonts w:ascii="Arial" w:hAnsi="Arial" w:cs="Arial"/>
        </w:rPr>
        <w:t>El Comité de Conciliación tramitó de manera oportuna el 95% de las solicitudes de conciliación interpuestas durante la vigencia 2016, en cuanto al seguimiento de las solicitudes de conciliación que superaron los 15 días para ser llevadas al Comité de Conciliación</w:t>
      </w:r>
      <w:r w:rsidR="00017B0B" w:rsidRPr="003D32E3">
        <w:rPr>
          <w:rFonts w:ascii="Arial" w:hAnsi="Arial" w:cs="Arial"/>
        </w:rPr>
        <w:t>,</w:t>
      </w:r>
      <w:r w:rsidRPr="003D32E3">
        <w:rPr>
          <w:rFonts w:ascii="Arial" w:hAnsi="Arial" w:cs="Arial"/>
        </w:rPr>
        <w:t xml:space="preserve"> es importante continuar con el seguimiento riguroso para no sobrepasar los términos establecidos en la norma.</w:t>
      </w:r>
    </w:p>
    <w:p w:rsidR="00283D8A" w:rsidRPr="003D32E3" w:rsidRDefault="00283D8A" w:rsidP="00283D8A">
      <w:pPr>
        <w:pStyle w:val="Prrafodelista"/>
        <w:rPr>
          <w:rFonts w:ascii="Arial" w:hAnsi="Arial" w:cs="Arial"/>
          <w:highlight w:val="yellow"/>
        </w:rPr>
      </w:pPr>
    </w:p>
    <w:p w:rsidR="00670EBF" w:rsidRPr="003D32E3" w:rsidRDefault="002F204F" w:rsidP="008F6CFF">
      <w:pPr>
        <w:pStyle w:val="Prrafodelista"/>
        <w:numPr>
          <w:ilvl w:val="0"/>
          <w:numId w:val="16"/>
        </w:numPr>
        <w:spacing w:after="0" w:line="240" w:lineRule="auto"/>
        <w:jc w:val="both"/>
        <w:rPr>
          <w:rFonts w:ascii="Arial" w:hAnsi="Arial" w:cs="Arial"/>
        </w:rPr>
      </w:pPr>
      <w:r w:rsidRPr="003D32E3">
        <w:rPr>
          <w:rFonts w:ascii="Arial" w:hAnsi="Arial" w:cs="Arial"/>
        </w:rPr>
        <w:t xml:space="preserve">Como oportunidad de mejora, </w:t>
      </w:r>
      <w:r w:rsidR="009726E1" w:rsidRPr="003D32E3">
        <w:rPr>
          <w:rFonts w:ascii="Arial" w:hAnsi="Arial" w:cs="Arial"/>
        </w:rPr>
        <w:t>e</w:t>
      </w:r>
      <w:r w:rsidR="009A10EE" w:rsidRPr="003D32E3">
        <w:rPr>
          <w:rFonts w:ascii="Arial" w:hAnsi="Arial" w:cs="Arial"/>
        </w:rPr>
        <w:t>s importante</w:t>
      </w:r>
      <w:r w:rsidR="00A8192A" w:rsidRPr="003D32E3">
        <w:rPr>
          <w:rFonts w:ascii="Arial" w:hAnsi="Arial" w:cs="Arial"/>
        </w:rPr>
        <w:t xml:space="preserve">, </w:t>
      </w:r>
      <w:r w:rsidR="00AC648A" w:rsidRPr="003D32E3">
        <w:rPr>
          <w:rFonts w:ascii="Arial" w:hAnsi="Arial" w:cs="Arial"/>
        </w:rPr>
        <w:t xml:space="preserve">que </w:t>
      </w:r>
      <w:r w:rsidRPr="003D32E3">
        <w:rPr>
          <w:rFonts w:ascii="Arial" w:hAnsi="Arial" w:cs="Arial"/>
        </w:rPr>
        <w:t xml:space="preserve">cuando se presente </w:t>
      </w:r>
      <w:r w:rsidR="00A8192A" w:rsidRPr="003D32E3">
        <w:rPr>
          <w:rFonts w:ascii="Arial" w:hAnsi="Arial" w:cs="Arial"/>
        </w:rPr>
        <w:t xml:space="preserve">cambio </w:t>
      </w:r>
      <w:r w:rsidR="009726E1" w:rsidRPr="003D32E3">
        <w:rPr>
          <w:rFonts w:ascii="Arial" w:hAnsi="Arial" w:cs="Arial"/>
        </w:rPr>
        <w:t xml:space="preserve">de la </w:t>
      </w:r>
      <w:r w:rsidR="007A6BE6" w:rsidRPr="003D32E3">
        <w:rPr>
          <w:rFonts w:ascii="Arial" w:hAnsi="Arial" w:cs="Arial"/>
        </w:rPr>
        <w:t>Secretar</w:t>
      </w:r>
      <w:r w:rsidR="00A8192A" w:rsidRPr="003D32E3">
        <w:rPr>
          <w:rFonts w:ascii="Arial" w:hAnsi="Arial" w:cs="Arial"/>
        </w:rPr>
        <w:t>ía</w:t>
      </w:r>
      <w:r w:rsidR="009A10EE" w:rsidRPr="003D32E3">
        <w:rPr>
          <w:rFonts w:ascii="Arial" w:hAnsi="Arial" w:cs="Arial"/>
        </w:rPr>
        <w:t xml:space="preserve"> Técnica</w:t>
      </w:r>
      <w:r w:rsidR="009726E1" w:rsidRPr="003D32E3">
        <w:rPr>
          <w:rFonts w:ascii="Arial" w:hAnsi="Arial" w:cs="Arial"/>
        </w:rPr>
        <w:t xml:space="preserve"> del Comité</w:t>
      </w:r>
      <w:r w:rsidR="009A10EE" w:rsidRPr="003D32E3">
        <w:rPr>
          <w:rFonts w:ascii="Arial" w:hAnsi="Arial" w:cs="Arial"/>
        </w:rPr>
        <w:t>,</w:t>
      </w:r>
      <w:r w:rsidR="00A8192A" w:rsidRPr="003D32E3">
        <w:rPr>
          <w:rFonts w:ascii="Arial" w:hAnsi="Arial" w:cs="Arial"/>
        </w:rPr>
        <w:t xml:space="preserve"> se haga la entrega de toda la documentación</w:t>
      </w:r>
      <w:r w:rsidR="008F6CFF" w:rsidRPr="003D32E3">
        <w:rPr>
          <w:rFonts w:ascii="Arial" w:hAnsi="Arial" w:cs="Arial"/>
        </w:rPr>
        <w:t xml:space="preserve"> en medio electrónico, en razón a que la mayoría de la sesiones se surten por este medio y es necesario </w:t>
      </w:r>
      <w:r w:rsidR="00A8192A" w:rsidRPr="003D32E3">
        <w:rPr>
          <w:rFonts w:ascii="Arial" w:hAnsi="Arial" w:cs="Arial"/>
        </w:rPr>
        <w:t xml:space="preserve"> </w:t>
      </w:r>
      <w:r w:rsidR="008F6CFF" w:rsidRPr="003D32E3">
        <w:rPr>
          <w:rFonts w:ascii="Arial" w:hAnsi="Arial" w:cs="Arial"/>
        </w:rPr>
        <w:t>que obre prueba de las deliberaciones y decisiones adoptadas en las reuniones virtuales,  los archivos de correos electrónicos enviados y recibidos durante la sesión virtual, al igual que todos los demás medios tecnológicos de apoyo o respaldo de la respectiva sesión</w:t>
      </w:r>
    </w:p>
    <w:p w:rsidR="008F6CFF" w:rsidRPr="003D32E3" w:rsidRDefault="008F6CFF" w:rsidP="008F6CFF">
      <w:pPr>
        <w:pStyle w:val="Prrafodelista"/>
        <w:spacing w:after="0" w:line="240" w:lineRule="auto"/>
        <w:jc w:val="both"/>
        <w:rPr>
          <w:rFonts w:ascii="Arial" w:hAnsi="Arial" w:cs="Arial"/>
        </w:rPr>
      </w:pPr>
    </w:p>
    <w:p w:rsidR="00A63D4E" w:rsidRPr="003D32E3" w:rsidRDefault="00A63D4E" w:rsidP="00670EBF">
      <w:pPr>
        <w:pStyle w:val="Prrafodelista"/>
        <w:numPr>
          <w:ilvl w:val="0"/>
          <w:numId w:val="16"/>
        </w:numPr>
        <w:spacing w:after="0" w:line="240" w:lineRule="auto"/>
        <w:jc w:val="both"/>
        <w:rPr>
          <w:rFonts w:ascii="Arial" w:hAnsi="Arial" w:cs="Arial"/>
        </w:rPr>
      </w:pPr>
      <w:r w:rsidRPr="003D32E3">
        <w:rPr>
          <w:rFonts w:ascii="Arial" w:hAnsi="Arial" w:cs="Arial"/>
        </w:rPr>
        <w:t xml:space="preserve">Se evidenció que la Secretaria Técnica elaboró las actas de las 27 sesiones realizadas por </w:t>
      </w:r>
      <w:r w:rsidR="00331C3D" w:rsidRPr="003D32E3">
        <w:rPr>
          <w:rFonts w:ascii="Arial" w:hAnsi="Arial" w:cs="Arial"/>
        </w:rPr>
        <w:t xml:space="preserve">el Comité de Conciliación, </w:t>
      </w:r>
      <w:r w:rsidRPr="003D32E3">
        <w:rPr>
          <w:rFonts w:ascii="Arial" w:hAnsi="Arial" w:cs="Arial"/>
        </w:rPr>
        <w:t xml:space="preserve">en dos (2) </w:t>
      </w:r>
      <w:r w:rsidR="003D32E3" w:rsidRPr="003D32E3">
        <w:rPr>
          <w:rFonts w:ascii="Arial" w:hAnsi="Arial" w:cs="Arial"/>
        </w:rPr>
        <w:t xml:space="preserve">de estas </w:t>
      </w:r>
      <w:r w:rsidRPr="003D32E3">
        <w:rPr>
          <w:rFonts w:ascii="Arial" w:hAnsi="Arial" w:cs="Arial"/>
        </w:rPr>
        <w:t>se</w:t>
      </w:r>
      <w:r w:rsidR="00CF5A5A" w:rsidRPr="003D32E3">
        <w:rPr>
          <w:rFonts w:ascii="Arial" w:hAnsi="Arial" w:cs="Arial"/>
        </w:rPr>
        <w:t xml:space="preserve"> observa</w:t>
      </w:r>
      <w:r w:rsidRPr="003D32E3">
        <w:rPr>
          <w:rFonts w:ascii="Arial" w:hAnsi="Arial" w:cs="Arial"/>
        </w:rPr>
        <w:t>n er</w:t>
      </w:r>
      <w:r w:rsidR="00CF5A5A" w:rsidRPr="003D32E3">
        <w:rPr>
          <w:rFonts w:ascii="Arial" w:hAnsi="Arial" w:cs="Arial"/>
        </w:rPr>
        <w:t>rores de  transcripción, por lo que</w:t>
      </w:r>
      <w:r w:rsidRPr="003D32E3">
        <w:rPr>
          <w:rFonts w:ascii="Arial" w:hAnsi="Arial" w:cs="Arial"/>
        </w:rPr>
        <w:t xml:space="preserve"> se recomienda fortalecer la tarea de revisión por parte de los miembros del Comité, de conformidad con el artículo tercero, numeral 5 de la Resolución 115 de 2015, para que exista afinidad entre las fichas sometidas a estudio y lo plasmado en el acta</w:t>
      </w:r>
      <w:r w:rsidR="00AF0723" w:rsidRPr="003D32E3">
        <w:rPr>
          <w:rFonts w:ascii="Arial" w:hAnsi="Arial" w:cs="Arial"/>
        </w:rPr>
        <w:t>.</w:t>
      </w:r>
    </w:p>
    <w:p w:rsidR="00490C20" w:rsidRPr="003D32E3" w:rsidRDefault="00490C20" w:rsidP="00490C20">
      <w:pPr>
        <w:pStyle w:val="Prrafodelista"/>
        <w:rPr>
          <w:rFonts w:ascii="Arial" w:hAnsi="Arial" w:cs="Arial"/>
        </w:rPr>
      </w:pPr>
    </w:p>
    <w:p w:rsidR="00145BA9" w:rsidRPr="003D32E3" w:rsidRDefault="00145BA9" w:rsidP="003D32E3">
      <w:pPr>
        <w:pStyle w:val="Prrafodelista"/>
        <w:numPr>
          <w:ilvl w:val="0"/>
          <w:numId w:val="16"/>
        </w:numPr>
        <w:shd w:val="clear" w:color="auto" w:fill="FFFFFF" w:themeFill="background1"/>
        <w:spacing w:after="0" w:line="240" w:lineRule="auto"/>
        <w:jc w:val="both"/>
        <w:rPr>
          <w:rFonts w:ascii="Arial" w:hAnsi="Arial" w:cs="Arial"/>
        </w:rPr>
      </w:pPr>
      <w:r w:rsidRPr="003D32E3">
        <w:rPr>
          <w:rFonts w:ascii="Arial" w:hAnsi="Arial" w:cs="Arial"/>
        </w:rPr>
        <w:t xml:space="preserve">Aunque la norma no establece una fecha específica para la presentación </w:t>
      </w:r>
      <w:r w:rsidR="00151C96" w:rsidRPr="003D32E3">
        <w:rPr>
          <w:rFonts w:ascii="Arial" w:hAnsi="Arial" w:cs="Arial"/>
        </w:rPr>
        <w:t>por parte de la Secretaria Técnica</w:t>
      </w:r>
      <w:r w:rsidR="00002113" w:rsidRPr="003D32E3">
        <w:rPr>
          <w:rFonts w:ascii="Arial" w:hAnsi="Arial" w:cs="Arial"/>
        </w:rPr>
        <w:t>,</w:t>
      </w:r>
      <w:r w:rsidR="00151C96" w:rsidRPr="003D32E3">
        <w:rPr>
          <w:rFonts w:ascii="Arial" w:hAnsi="Arial" w:cs="Arial"/>
        </w:rPr>
        <w:t xml:space="preserve"> </w:t>
      </w:r>
      <w:r w:rsidRPr="003D32E3">
        <w:rPr>
          <w:rFonts w:ascii="Arial" w:hAnsi="Arial" w:cs="Arial"/>
        </w:rPr>
        <w:t>del informe de Gestión del Comité de Conciliación al Representante Legal  y al Comité</w:t>
      </w:r>
      <w:r w:rsidR="00CF5A5A" w:rsidRPr="003D32E3">
        <w:rPr>
          <w:rFonts w:ascii="Arial" w:hAnsi="Arial" w:cs="Arial"/>
        </w:rPr>
        <w:t>;</w:t>
      </w:r>
      <w:r w:rsidRPr="003D32E3">
        <w:rPr>
          <w:rFonts w:ascii="Arial" w:hAnsi="Arial" w:cs="Arial"/>
        </w:rPr>
        <w:t xml:space="preserve"> </w:t>
      </w:r>
      <w:r w:rsidR="003D32E3">
        <w:rPr>
          <w:rFonts w:ascii="Arial" w:hAnsi="Arial" w:cs="Arial"/>
        </w:rPr>
        <w:t xml:space="preserve"> y </w:t>
      </w:r>
      <w:r w:rsidR="00CF5A5A" w:rsidRPr="003D32E3">
        <w:rPr>
          <w:rFonts w:ascii="Arial" w:hAnsi="Arial" w:cs="Arial"/>
        </w:rPr>
        <w:t xml:space="preserve">dado que a la fecha del </w:t>
      </w:r>
      <w:r w:rsidR="00151C96" w:rsidRPr="003D32E3">
        <w:rPr>
          <w:rFonts w:ascii="Arial" w:hAnsi="Arial" w:cs="Arial"/>
        </w:rPr>
        <w:t>seguimiento aún</w:t>
      </w:r>
      <w:r w:rsidR="00002113" w:rsidRPr="003D32E3">
        <w:rPr>
          <w:rFonts w:ascii="Arial" w:hAnsi="Arial" w:cs="Arial"/>
        </w:rPr>
        <w:t xml:space="preserve"> no se ha presentado el informe correspondien</w:t>
      </w:r>
      <w:r w:rsidR="00A63D4E" w:rsidRPr="003D32E3">
        <w:rPr>
          <w:rFonts w:ascii="Arial" w:hAnsi="Arial" w:cs="Arial"/>
        </w:rPr>
        <w:t xml:space="preserve">te al segundo semestre de 2016, </w:t>
      </w:r>
      <w:r w:rsidR="00CF5A5A" w:rsidRPr="003D32E3">
        <w:rPr>
          <w:rFonts w:ascii="Arial" w:hAnsi="Arial" w:cs="Arial"/>
        </w:rPr>
        <w:t xml:space="preserve">y considerando lo establecido en el numeral tercero del artículo 2.2.4.3.1.2.6. del Decreto 1069 de 2015, </w:t>
      </w:r>
      <w:r w:rsidR="00A63D4E" w:rsidRPr="003D32E3">
        <w:rPr>
          <w:rFonts w:ascii="Arial" w:hAnsi="Arial" w:cs="Arial"/>
        </w:rPr>
        <w:t>se sugiere tener en cuenta la periodicidad</w:t>
      </w:r>
      <w:r w:rsidR="00CF5A5A" w:rsidRPr="003D32E3">
        <w:rPr>
          <w:rFonts w:ascii="Arial" w:hAnsi="Arial" w:cs="Arial"/>
        </w:rPr>
        <w:t xml:space="preserve"> </w:t>
      </w:r>
      <w:r w:rsidR="00A63D4E" w:rsidRPr="003D32E3">
        <w:rPr>
          <w:rFonts w:ascii="Arial" w:hAnsi="Arial" w:cs="Arial"/>
        </w:rPr>
        <w:t>en la presentación de este informe</w:t>
      </w:r>
      <w:r w:rsidR="00CF5A5A" w:rsidRPr="003D32E3">
        <w:rPr>
          <w:rFonts w:ascii="Arial" w:hAnsi="Arial" w:cs="Arial"/>
        </w:rPr>
        <w:t xml:space="preserve"> (semestral).</w:t>
      </w:r>
    </w:p>
    <w:p w:rsidR="00A63D4E" w:rsidRPr="003D32E3" w:rsidRDefault="00A63D4E" w:rsidP="00CF5A5A">
      <w:pPr>
        <w:ind w:left="360"/>
        <w:rPr>
          <w:rFonts w:ascii="Arial" w:hAnsi="Arial" w:cs="Arial"/>
        </w:rPr>
      </w:pPr>
    </w:p>
    <w:p w:rsidR="004B20F5" w:rsidRDefault="004B20F5" w:rsidP="003535F9">
      <w:pPr>
        <w:pStyle w:val="Prrafodelista"/>
        <w:spacing w:after="0" w:line="240" w:lineRule="auto"/>
        <w:jc w:val="both"/>
        <w:rPr>
          <w:rFonts w:ascii="Arial" w:hAnsi="Arial" w:cs="Arial"/>
        </w:rPr>
      </w:pPr>
    </w:p>
    <w:p w:rsidR="009068F4" w:rsidRDefault="009068F4" w:rsidP="00BF5F4D">
      <w:pPr>
        <w:spacing w:after="0" w:line="240" w:lineRule="auto"/>
        <w:jc w:val="both"/>
        <w:rPr>
          <w:rFonts w:ascii="Arial" w:hAnsi="Arial" w:cs="Arial"/>
          <w:b/>
        </w:rPr>
      </w:pPr>
    </w:p>
    <w:p w:rsidR="00C5346E" w:rsidRPr="001163A1" w:rsidRDefault="00C5346E" w:rsidP="00BF5F4D">
      <w:pPr>
        <w:spacing w:after="0" w:line="240" w:lineRule="auto"/>
        <w:jc w:val="both"/>
        <w:rPr>
          <w:rFonts w:ascii="Arial" w:hAnsi="Arial" w:cs="Arial"/>
          <w:b/>
        </w:rPr>
      </w:pPr>
    </w:p>
    <w:p w:rsidR="009068F4" w:rsidRPr="001163A1" w:rsidRDefault="009068F4" w:rsidP="00BF5F4D">
      <w:pPr>
        <w:spacing w:after="0" w:line="240" w:lineRule="auto"/>
        <w:jc w:val="both"/>
        <w:rPr>
          <w:rFonts w:ascii="Arial" w:hAnsi="Arial" w:cs="Arial"/>
          <w:b/>
        </w:rPr>
      </w:pPr>
    </w:p>
    <w:p w:rsidR="00BF5F4D" w:rsidRPr="001163A1" w:rsidRDefault="00BF5F4D" w:rsidP="00BF5F4D">
      <w:pPr>
        <w:spacing w:after="0" w:line="240" w:lineRule="auto"/>
        <w:jc w:val="both"/>
        <w:rPr>
          <w:rFonts w:ascii="Arial" w:hAnsi="Arial" w:cs="Arial"/>
          <w:b/>
        </w:rPr>
      </w:pPr>
      <w:r w:rsidRPr="001163A1">
        <w:rPr>
          <w:rFonts w:ascii="Arial" w:hAnsi="Arial" w:cs="Arial"/>
          <w:b/>
        </w:rPr>
        <w:t>L</w:t>
      </w:r>
      <w:r w:rsidR="00BB18FB">
        <w:rPr>
          <w:rFonts w:ascii="Arial" w:hAnsi="Arial" w:cs="Arial"/>
          <w:b/>
        </w:rPr>
        <w:t>uz Stella Patiño Jurado</w:t>
      </w:r>
    </w:p>
    <w:p w:rsidR="00BF5F4D" w:rsidRPr="00BB18FB" w:rsidRDefault="00BF5F4D" w:rsidP="00BF5F4D">
      <w:pPr>
        <w:spacing w:after="0" w:line="240" w:lineRule="auto"/>
        <w:jc w:val="both"/>
        <w:rPr>
          <w:rFonts w:ascii="Arial" w:hAnsi="Arial" w:cs="Arial"/>
        </w:rPr>
      </w:pPr>
      <w:r w:rsidRPr="00BB18FB">
        <w:rPr>
          <w:rFonts w:ascii="Arial" w:hAnsi="Arial" w:cs="Arial"/>
        </w:rPr>
        <w:t xml:space="preserve">Jefe Oficina de Control Interno  </w:t>
      </w:r>
    </w:p>
    <w:p w:rsidR="007A6BE6" w:rsidRPr="001163A1" w:rsidRDefault="007A6BE6" w:rsidP="00BF5F4D">
      <w:pPr>
        <w:spacing w:after="0" w:line="240" w:lineRule="auto"/>
        <w:jc w:val="both"/>
        <w:rPr>
          <w:rFonts w:ascii="Arial" w:hAnsi="Arial" w:cs="Arial"/>
          <w:b/>
        </w:rPr>
      </w:pPr>
    </w:p>
    <w:p w:rsidR="00BF5F4D" w:rsidRPr="003D32E3" w:rsidRDefault="00BF5F4D" w:rsidP="00BF5F4D">
      <w:pPr>
        <w:spacing w:after="0" w:line="240" w:lineRule="auto"/>
        <w:jc w:val="both"/>
        <w:rPr>
          <w:rFonts w:ascii="Arial" w:hAnsi="Arial" w:cs="Arial"/>
          <w:color w:val="FF0000"/>
          <w:sz w:val="14"/>
          <w:szCs w:val="14"/>
        </w:rPr>
      </w:pPr>
      <w:r w:rsidRPr="003D32E3">
        <w:rPr>
          <w:rFonts w:ascii="Arial" w:hAnsi="Arial" w:cs="Arial"/>
          <w:sz w:val="14"/>
          <w:szCs w:val="14"/>
        </w:rPr>
        <w:t xml:space="preserve">Proyecto: </w:t>
      </w:r>
      <w:r w:rsidR="000322EC" w:rsidRPr="003D32E3">
        <w:rPr>
          <w:rFonts w:ascii="Arial" w:hAnsi="Arial" w:cs="Arial"/>
          <w:sz w:val="14"/>
          <w:szCs w:val="14"/>
        </w:rPr>
        <w:t>S</w:t>
      </w:r>
      <w:r w:rsidR="00BB18FB" w:rsidRPr="003D32E3">
        <w:rPr>
          <w:rFonts w:ascii="Arial" w:hAnsi="Arial" w:cs="Arial"/>
          <w:sz w:val="14"/>
          <w:szCs w:val="14"/>
        </w:rPr>
        <w:t xml:space="preserve">andra </w:t>
      </w:r>
      <w:r w:rsidR="000322EC" w:rsidRPr="003D32E3">
        <w:rPr>
          <w:rFonts w:ascii="Arial" w:hAnsi="Arial" w:cs="Arial"/>
          <w:sz w:val="14"/>
          <w:szCs w:val="14"/>
        </w:rPr>
        <w:t>M</w:t>
      </w:r>
      <w:r w:rsidR="00BB18FB" w:rsidRPr="003D32E3">
        <w:rPr>
          <w:rFonts w:ascii="Arial" w:hAnsi="Arial" w:cs="Arial"/>
          <w:sz w:val="14"/>
          <w:szCs w:val="14"/>
        </w:rPr>
        <w:t xml:space="preserve">ilena </w:t>
      </w:r>
      <w:r w:rsidR="008F6CFF" w:rsidRPr="003D32E3">
        <w:rPr>
          <w:rFonts w:ascii="Arial" w:hAnsi="Arial" w:cs="Arial"/>
          <w:sz w:val="14"/>
          <w:szCs w:val="14"/>
        </w:rPr>
        <w:t>Ramírez</w:t>
      </w:r>
      <w:r w:rsidRPr="003D32E3">
        <w:rPr>
          <w:rFonts w:ascii="Arial" w:hAnsi="Arial" w:cs="Arial"/>
          <w:sz w:val="14"/>
          <w:szCs w:val="14"/>
        </w:rPr>
        <w:t xml:space="preserve"> / Revisó: L</w:t>
      </w:r>
      <w:r w:rsidR="00BB18FB" w:rsidRPr="003D32E3">
        <w:rPr>
          <w:rFonts w:ascii="Arial" w:hAnsi="Arial" w:cs="Arial"/>
          <w:sz w:val="14"/>
          <w:szCs w:val="14"/>
        </w:rPr>
        <w:t>uz Stella Patiño</w:t>
      </w:r>
    </w:p>
    <w:sectPr w:rsidR="00BF5F4D" w:rsidRPr="003D32E3" w:rsidSect="00D12F2F">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6D" w:rsidRDefault="0013606D" w:rsidP="00790668">
      <w:pPr>
        <w:spacing w:after="0" w:line="240" w:lineRule="auto"/>
      </w:pPr>
      <w:r>
        <w:separator/>
      </w:r>
    </w:p>
  </w:endnote>
  <w:endnote w:type="continuationSeparator" w:id="0">
    <w:p w:rsidR="0013606D" w:rsidRDefault="0013606D"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altName w:val="Vrind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648471"/>
      <w:docPartObj>
        <w:docPartGallery w:val="Page Numbers (Bottom of Page)"/>
        <w:docPartUnique/>
      </w:docPartObj>
    </w:sdtPr>
    <w:sdtEndPr/>
    <w:sdtContent>
      <w:p w:rsidR="003D32E3" w:rsidRDefault="003D32E3">
        <w:pPr>
          <w:pStyle w:val="Piedepgina"/>
          <w:jc w:val="right"/>
        </w:pPr>
        <w:r>
          <w:fldChar w:fldCharType="begin"/>
        </w:r>
        <w:r>
          <w:instrText>PAGE   \* MERGEFORMAT</w:instrText>
        </w:r>
        <w:r>
          <w:fldChar w:fldCharType="separate"/>
        </w:r>
        <w:r w:rsidR="00800843" w:rsidRPr="00800843">
          <w:rPr>
            <w:noProof/>
            <w:lang w:val="es-ES"/>
          </w:rPr>
          <w:t>2</w:t>
        </w:r>
        <w:r>
          <w:fldChar w:fldCharType="end"/>
        </w:r>
      </w:p>
    </w:sdtContent>
  </w:sdt>
  <w:p w:rsidR="003D32E3" w:rsidRDefault="003D32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6D" w:rsidRDefault="0013606D" w:rsidP="00790668">
      <w:pPr>
        <w:spacing w:after="0" w:line="240" w:lineRule="auto"/>
      </w:pPr>
      <w:r>
        <w:separator/>
      </w:r>
    </w:p>
  </w:footnote>
  <w:footnote w:type="continuationSeparator" w:id="0">
    <w:p w:rsidR="0013606D" w:rsidRDefault="0013606D" w:rsidP="00790668">
      <w:pPr>
        <w:spacing w:after="0" w:line="240" w:lineRule="auto"/>
      </w:pPr>
      <w:r>
        <w:continuationSeparator/>
      </w:r>
    </w:p>
  </w:footnote>
  <w:footnote w:id="1">
    <w:p w:rsidR="005D5B9D" w:rsidRPr="005D5B9D" w:rsidRDefault="005D5B9D">
      <w:pPr>
        <w:pStyle w:val="Textonotapie"/>
        <w:rPr>
          <w:lang w:val="es-CO"/>
        </w:rPr>
      </w:pPr>
      <w:r>
        <w:rPr>
          <w:rStyle w:val="Refdenotaalpie"/>
        </w:rPr>
        <w:footnoteRef/>
      </w:r>
      <w:r>
        <w:t xml:space="preserve"> </w:t>
      </w:r>
      <w:r w:rsidRPr="005D5B9D">
        <w:t xml:space="preserve">La expresión </w:t>
      </w:r>
      <w:r>
        <w:t>“</w:t>
      </w:r>
      <w:r w:rsidRPr="005D5B9D">
        <w:rPr>
          <w:i/>
        </w:rPr>
        <w:t>Una copia del mismo será remitida a la Agencia Nacional de Defensa Jurídica del Estado</w:t>
      </w:r>
      <w:r>
        <w:t>.”</w:t>
      </w:r>
      <w:r w:rsidRPr="005D5B9D">
        <w:t xml:space="preserve"> fue suprimida por el Dec</w:t>
      </w:r>
      <w:r>
        <w:t>reto 1167 de 2016, artículo 6º.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0F8"/>
    <w:multiLevelType w:val="hybridMultilevel"/>
    <w:tmpl w:val="989E70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1F420D"/>
    <w:multiLevelType w:val="hybridMultilevel"/>
    <w:tmpl w:val="D1962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5539DF"/>
    <w:multiLevelType w:val="hybridMultilevel"/>
    <w:tmpl w:val="547A5B78"/>
    <w:lvl w:ilvl="0" w:tplc="78500BC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676DC2"/>
    <w:multiLevelType w:val="hybridMultilevel"/>
    <w:tmpl w:val="C5086192"/>
    <w:lvl w:ilvl="0" w:tplc="A4FC00BE">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19E5D8F"/>
    <w:multiLevelType w:val="hybridMultilevel"/>
    <w:tmpl w:val="AA109EB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nsid w:val="22543139"/>
    <w:multiLevelType w:val="hybridMultilevel"/>
    <w:tmpl w:val="5A22248A"/>
    <w:lvl w:ilvl="0" w:tplc="25220AA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0D52A3B"/>
    <w:multiLevelType w:val="hybridMultilevel"/>
    <w:tmpl w:val="93BAE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F9C090E"/>
    <w:multiLevelType w:val="hybridMultilevel"/>
    <w:tmpl w:val="FB5C8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A02602"/>
    <w:multiLevelType w:val="hybridMultilevel"/>
    <w:tmpl w:val="BCE06190"/>
    <w:lvl w:ilvl="0" w:tplc="5546B438">
      <w:start w:val="1"/>
      <w:numFmt w:val="upperLetter"/>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1BB691C"/>
    <w:multiLevelType w:val="hybridMultilevel"/>
    <w:tmpl w:val="A9F492B2"/>
    <w:lvl w:ilvl="0" w:tplc="B6183EB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565776E"/>
    <w:multiLevelType w:val="hybridMultilevel"/>
    <w:tmpl w:val="57E0A8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9852911"/>
    <w:multiLevelType w:val="hybridMultilevel"/>
    <w:tmpl w:val="19588A1A"/>
    <w:lvl w:ilvl="0" w:tplc="FBAEE630">
      <w:start w:val="1"/>
      <w:numFmt w:val="decimal"/>
      <w:lvlText w:val="%1."/>
      <w:lvlJc w:val="left"/>
      <w:pPr>
        <w:ind w:left="78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3CE3F53"/>
    <w:multiLevelType w:val="hybridMultilevel"/>
    <w:tmpl w:val="989E70B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6E14CA7"/>
    <w:multiLevelType w:val="hybridMultilevel"/>
    <w:tmpl w:val="7660AC36"/>
    <w:lvl w:ilvl="0" w:tplc="790678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611060E0"/>
    <w:multiLevelType w:val="hybridMultilevel"/>
    <w:tmpl w:val="5B74D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8AD7E87"/>
    <w:multiLevelType w:val="hybridMultilevel"/>
    <w:tmpl w:val="7606299E"/>
    <w:lvl w:ilvl="0" w:tplc="E7C06B8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C64C88"/>
    <w:multiLevelType w:val="multilevel"/>
    <w:tmpl w:val="1B340B4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C780D65"/>
    <w:multiLevelType w:val="hybridMultilevel"/>
    <w:tmpl w:val="989E70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E143EF0"/>
    <w:multiLevelType w:val="hybridMultilevel"/>
    <w:tmpl w:val="99F0179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9">
    <w:nsid w:val="726B3BB6"/>
    <w:multiLevelType w:val="hybridMultilevel"/>
    <w:tmpl w:val="ADECDA4A"/>
    <w:lvl w:ilvl="0" w:tplc="6C2E91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11"/>
  </w:num>
  <w:num w:numId="3">
    <w:abstractNumId w:val="2"/>
  </w:num>
  <w:num w:numId="4">
    <w:abstractNumId w:val="4"/>
  </w:num>
  <w:num w:numId="5">
    <w:abstractNumId w:val="10"/>
  </w:num>
  <w:num w:numId="6">
    <w:abstractNumId w:val="17"/>
  </w:num>
  <w:num w:numId="7">
    <w:abstractNumId w:val="15"/>
  </w:num>
  <w:num w:numId="8">
    <w:abstractNumId w:val="12"/>
  </w:num>
  <w:num w:numId="9">
    <w:abstractNumId w:val="16"/>
  </w:num>
  <w:num w:numId="10">
    <w:abstractNumId w:val="5"/>
  </w:num>
  <w:num w:numId="11">
    <w:abstractNumId w:val="9"/>
  </w:num>
  <w:num w:numId="12">
    <w:abstractNumId w:val="0"/>
  </w:num>
  <w:num w:numId="13">
    <w:abstractNumId w:val="7"/>
  </w:num>
  <w:num w:numId="14">
    <w:abstractNumId w:val="19"/>
  </w:num>
  <w:num w:numId="15">
    <w:abstractNumId w:val="13"/>
  </w:num>
  <w:num w:numId="16">
    <w:abstractNumId w:val="3"/>
  </w:num>
  <w:num w:numId="17">
    <w:abstractNumId w:val="14"/>
  </w:num>
  <w:num w:numId="18">
    <w:abstractNumId w:val="18"/>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00E4"/>
    <w:rsid w:val="00002113"/>
    <w:rsid w:val="000047AB"/>
    <w:rsid w:val="00004F6F"/>
    <w:rsid w:val="00012B25"/>
    <w:rsid w:val="000148AE"/>
    <w:rsid w:val="00017B0B"/>
    <w:rsid w:val="000228D6"/>
    <w:rsid w:val="000238B1"/>
    <w:rsid w:val="00027916"/>
    <w:rsid w:val="000322EC"/>
    <w:rsid w:val="0003269F"/>
    <w:rsid w:val="000360F9"/>
    <w:rsid w:val="00041C12"/>
    <w:rsid w:val="00043FD6"/>
    <w:rsid w:val="00050FD7"/>
    <w:rsid w:val="0006126B"/>
    <w:rsid w:val="00085958"/>
    <w:rsid w:val="00086FD3"/>
    <w:rsid w:val="000933E8"/>
    <w:rsid w:val="00096DE6"/>
    <w:rsid w:val="000977FA"/>
    <w:rsid w:val="000B0D3E"/>
    <w:rsid w:val="000C082A"/>
    <w:rsid w:val="000C2115"/>
    <w:rsid w:val="000C3EDA"/>
    <w:rsid w:val="000C4B07"/>
    <w:rsid w:val="000C7755"/>
    <w:rsid w:val="000D17B7"/>
    <w:rsid w:val="000D4643"/>
    <w:rsid w:val="000E0736"/>
    <w:rsid w:val="000E50EC"/>
    <w:rsid w:val="000E6C5B"/>
    <w:rsid w:val="000E77C9"/>
    <w:rsid w:val="000E7D4E"/>
    <w:rsid w:val="00104563"/>
    <w:rsid w:val="001046CA"/>
    <w:rsid w:val="001059CA"/>
    <w:rsid w:val="0011213B"/>
    <w:rsid w:val="00114792"/>
    <w:rsid w:val="001163A1"/>
    <w:rsid w:val="0012108E"/>
    <w:rsid w:val="00125477"/>
    <w:rsid w:val="00135BE5"/>
    <w:rsid w:val="0013606D"/>
    <w:rsid w:val="00141E32"/>
    <w:rsid w:val="00145BA9"/>
    <w:rsid w:val="001478F6"/>
    <w:rsid w:val="00151C96"/>
    <w:rsid w:val="00162366"/>
    <w:rsid w:val="00164864"/>
    <w:rsid w:val="00166825"/>
    <w:rsid w:val="0016778C"/>
    <w:rsid w:val="001730C4"/>
    <w:rsid w:val="00174132"/>
    <w:rsid w:val="0017433A"/>
    <w:rsid w:val="00176462"/>
    <w:rsid w:val="00184D43"/>
    <w:rsid w:val="00191620"/>
    <w:rsid w:val="001979C6"/>
    <w:rsid w:val="001A1648"/>
    <w:rsid w:val="001A469C"/>
    <w:rsid w:val="001A5720"/>
    <w:rsid w:val="001A6AE2"/>
    <w:rsid w:val="001B1300"/>
    <w:rsid w:val="001B240F"/>
    <w:rsid w:val="001B4813"/>
    <w:rsid w:val="001B49A4"/>
    <w:rsid w:val="001B4B0E"/>
    <w:rsid w:val="001B5BF2"/>
    <w:rsid w:val="001C4D9B"/>
    <w:rsid w:val="001D1687"/>
    <w:rsid w:val="001D38B7"/>
    <w:rsid w:val="00204062"/>
    <w:rsid w:val="00204F43"/>
    <w:rsid w:val="0021029C"/>
    <w:rsid w:val="00216AD5"/>
    <w:rsid w:val="00227BE9"/>
    <w:rsid w:val="00230F13"/>
    <w:rsid w:val="00231594"/>
    <w:rsid w:val="002346E5"/>
    <w:rsid w:val="002361BE"/>
    <w:rsid w:val="002368D5"/>
    <w:rsid w:val="0024537B"/>
    <w:rsid w:val="00250C65"/>
    <w:rsid w:val="00256E10"/>
    <w:rsid w:val="002607FC"/>
    <w:rsid w:val="002628D7"/>
    <w:rsid w:val="00265A37"/>
    <w:rsid w:val="00266D66"/>
    <w:rsid w:val="00270EF3"/>
    <w:rsid w:val="00273CB1"/>
    <w:rsid w:val="0028094B"/>
    <w:rsid w:val="00283D8A"/>
    <w:rsid w:val="00286D58"/>
    <w:rsid w:val="0029616B"/>
    <w:rsid w:val="002A06BB"/>
    <w:rsid w:val="002A21CF"/>
    <w:rsid w:val="002A63F7"/>
    <w:rsid w:val="002B2002"/>
    <w:rsid w:val="002B5BAC"/>
    <w:rsid w:val="002C3438"/>
    <w:rsid w:val="002C4402"/>
    <w:rsid w:val="002C4F1E"/>
    <w:rsid w:val="002C5659"/>
    <w:rsid w:val="002D3B80"/>
    <w:rsid w:val="002D5A10"/>
    <w:rsid w:val="002E7560"/>
    <w:rsid w:val="002F1B9A"/>
    <w:rsid w:val="002F204F"/>
    <w:rsid w:val="002F3B08"/>
    <w:rsid w:val="002F7AFE"/>
    <w:rsid w:val="00301077"/>
    <w:rsid w:val="003048C3"/>
    <w:rsid w:val="00306902"/>
    <w:rsid w:val="00311996"/>
    <w:rsid w:val="003119C7"/>
    <w:rsid w:val="00313342"/>
    <w:rsid w:val="0031707D"/>
    <w:rsid w:val="00326797"/>
    <w:rsid w:val="00331C3D"/>
    <w:rsid w:val="00342BCB"/>
    <w:rsid w:val="00342E29"/>
    <w:rsid w:val="00346CF9"/>
    <w:rsid w:val="0034703B"/>
    <w:rsid w:val="00351A1E"/>
    <w:rsid w:val="003535F9"/>
    <w:rsid w:val="00366F93"/>
    <w:rsid w:val="00371409"/>
    <w:rsid w:val="00373BD0"/>
    <w:rsid w:val="003945D0"/>
    <w:rsid w:val="00395DD9"/>
    <w:rsid w:val="003A1AC8"/>
    <w:rsid w:val="003A2E18"/>
    <w:rsid w:val="003A641B"/>
    <w:rsid w:val="003A682A"/>
    <w:rsid w:val="003A6B6E"/>
    <w:rsid w:val="003B1B79"/>
    <w:rsid w:val="003B5E8C"/>
    <w:rsid w:val="003B613F"/>
    <w:rsid w:val="003D32E3"/>
    <w:rsid w:val="003D5283"/>
    <w:rsid w:val="003E48FC"/>
    <w:rsid w:val="003E4B6A"/>
    <w:rsid w:val="003E599A"/>
    <w:rsid w:val="003F195B"/>
    <w:rsid w:val="0040419E"/>
    <w:rsid w:val="00405D14"/>
    <w:rsid w:val="00407685"/>
    <w:rsid w:val="0041265C"/>
    <w:rsid w:val="00415D24"/>
    <w:rsid w:val="00416DC0"/>
    <w:rsid w:val="00417B3C"/>
    <w:rsid w:val="004200D1"/>
    <w:rsid w:val="0042343D"/>
    <w:rsid w:val="004333A5"/>
    <w:rsid w:val="00433973"/>
    <w:rsid w:val="00447AC9"/>
    <w:rsid w:val="004541F8"/>
    <w:rsid w:val="0045470A"/>
    <w:rsid w:val="00462CB4"/>
    <w:rsid w:val="00464FCD"/>
    <w:rsid w:val="00466EB5"/>
    <w:rsid w:val="00484A48"/>
    <w:rsid w:val="00490C20"/>
    <w:rsid w:val="004914A2"/>
    <w:rsid w:val="004A5E3B"/>
    <w:rsid w:val="004B015C"/>
    <w:rsid w:val="004B0AC1"/>
    <w:rsid w:val="004B20F5"/>
    <w:rsid w:val="004C046F"/>
    <w:rsid w:val="004C700D"/>
    <w:rsid w:val="004C7EC7"/>
    <w:rsid w:val="004D723E"/>
    <w:rsid w:val="004E34E0"/>
    <w:rsid w:val="004E72D6"/>
    <w:rsid w:val="004F5618"/>
    <w:rsid w:val="004F65A1"/>
    <w:rsid w:val="00503966"/>
    <w:rsid w:val="005114BF"/>
    <w:rsid w:val="00512B4E"/>
    <w:rsid w:val="005219C9"/>
    <w:rsid w:val="005252FB"/>
    <w:rsid w:val="00526E7F"/>
    <w:rsid w:val="00527D44"/>
    <w:rsid w:val="005309F9"/>
    <w:rsid w:val="00530E51"/>
    <w:rsid w:val="00531B72"/>
    <w:rsid w:val="00533DB1"/>
    <w:rsid w:val="00544E81"/>
    <w:rsid w:val="00545D8F"/>
    <w:rsid w:val="005470D8"/>
    <w:rsid w:val="00547949"/>
    <w:rsid w:val="00552B05"/>
    <w:rsid w:val="00560C48"/>
    <w:rsid w:val="005652A4"/>
    <w:rsid w:val="005712C3"/>
    <w:rsid w:val="005768AB"/>
    <w:rsid w:val="00580EB9"/>
    <w:rsid w:val="00581887"/>
    <w:rsid w:val="00591060"/>
    <w:rsid w:val="0059126E"/>
    <w:rsid w:val="005B50FA"/>
    <w:rsid w:val="005B64E4"/>
    <w:rsid w:val="005C120C"/>
    <w:rsid w:val="005D3A57"/>
    <w:rsid w:val="005D5B9D"/>
    <w:rsid w:val="005E11DB"/>
    <w:rsid w:val="006118EA"/>
    <w:rsid w:val="00614F90"/>
    <w:rsid w:val="0062163C"/>
    <w:rsid w:val="00630812"/>
    <w:rsid w:val="00634913"/>
    <w:rsid w:val="00634E3C"/>
    <w:rsid w:val="00642097"/>
    <w:rsid w:val="006563DC"/>
    <w:rsid w:val="00661EF2"/>
    <w:rsid w:val="00665B56"/>
    <w:rsid w:val="00670D19"/>
    <w:rsid w:val="00670EBF"/>
    <w:rsid w:val="0067449B"/>
    <w:rsid w:val="00676D93"/>
    <w:rsid w:val="00681311"/>
    <w:rsid w:val="0068197A"/>
    <w:rsid w:val="00683411"/>
    <w:rsid w:val="00685366"/>
    <w:rsid w:val="00686F09"/>
    <w:rsid w:val="00693013"/>
    <w:rsid w:val="00696C88"/>
    <w:rsid w:val="006A233B"/>
    <w:rsid w:val="006A518A"/>
    <w:rsid w:val="006C5D92"/>
    <w:rsid w:val="006C6AAB"/>
    <w:rsid w:val="006D0425"/>
    <w:rsid w:val="006D481C"/>
    <w:rsid w:val="006D5914"/>
    <w:rsid w:val="006E0BB0"/>
    <w:rsid w:val="006E3F25"/>
    <w:rsid w:val="006E59EE"/>
    <w:rsid w:val="006F4A03"/>
    <w:rsid w:val="006F5D78"/>
    <w:rsid w:val="006F6954"/>
    <w:rsid w:val="00705862"/>
    <w:rsid w:val="00724890"/>
    <w:rsid w:val="00727058"/>
    <w:rsid w:val="007314EC"/>
    <w:rsid w:val="00735FB1"/>
    <w:rsid w:val="00742776"/>
    <w:rsid w:val="00746D47"/>
    <w:rsid w:val="007578DA"/>
    <w:rsid w:val="00760C0B"/>
    <w:rsid w:val="007641EE"/>
    <w:rsid w:val="00766EE4"/>
    <w:rsid w:val="007709C4"/>
    <w:rsid w:val="00773639"/>
    <w:rsid w:val="0078307A"/>
    <w:rsid w:val="00790668"/>
    <w:rsid w:val="0079542E"/>
    <w:rsid w:val="007976E3"/>
    <w:rsid w:val="00797AC2"/>
    <w:rsid w:val="007A0257"/>
    <w:rsid w:val="007A5C45"/>
    <w:rsid w:val="007A6BE6"/>
    <w:rsid w:val="007B5665"/>
    <w:rsid w:val="007C3138"/>
    <w:rsid w:val="007E0017"/>
    <w:rsid w:val="007E1F7A"/>
    <w:rsid w:val="007E521F"/>
    <w:rsid w:val="007F3DC6"/>
    <w:rsid w:val="00800843"/>
    <w:rsid w:val="00816BA2"/>
    <w:rsid w:val="008172D7"/>
    <w:rsid w:val="00821722"/>
    <w:rsid w:val="0082410D"/>
    <w:rsid w:val="0083286F"/>
    <w:rsid w:val="00834AAC"/>
    <w:rsid w:val="00841EED"/>
    <w:rsid w:val="00847C7D"/>
    <w:rsid w:val="00853CFE"/>
    <w:rsid w:val="008548F3"/>
    <w:rsid w:val="00860A5B"/>
    <w:rsid w:val="00861818"/>
    <w:rsid w:val="00863C09"/>
    <w:rsid w:val="00876E30"/>
    <w:rsid w:val="00887EEB"/>
    <w:rsid w:val="008A4292"/>
    <w:rsid w:val="008A74DD"/>
    <w:rsid w:val="008B2568"/>
    <w:rsid w:val="008B3390"/>
    <w:rsid w:val="008C29BE"/>
    <w:rsid w:val="008C4954"/>
    <w:rsid w:val="008D1241"/>
    <w:rsid w:val="008D22D3"/>
    <w:rsid w:val="008D383B"/>
    <w:rsid w:val="008D541F"/>
    <w:rsid w:val="008D6BC8"/>
    <w:rsid w:val="008D7A2A"/>
    <w:rsid w:val="008E4C81"/>
    <w:rsid w:val="008E7755"/>
    <w:rsid w:val="008F305E"/>
    <w:rsid w:val="008F4600"/>
    <w:rsid w:val="008F6CFF"/>
    <w:rsid w:val="008F7C30"/>
    <w:rsid w:val="0090593A"/>
    <w:rsid w:val="009068F4"/>
    <w:rsid w:val="00907C57"/>
    <w:rsid w:val="0092263C"/>
    <w:rsid w:val="00930131"/>
    <w:rsid w:val="00932FE2"/>
    <w:rsid w:val="00936C3C"/>
    <w:rsid w:val="00951024"/>
    <w:rsid w:val="00954740"/>
    <w:rsid w:val="009547FA"/>
    <w:rsid w:val="00955D13"/>
    <w:rsid w:val="0095668D"/>
    <w:rsid w:val="009726E1"/>
    <w:rsid w:val="00982520"/>
    <w:rsid w:val="00984339"/>
    <w:rsid w:val="00986A32"/>
    <w:rsid w:val="009A0F89"/>
    <w:rsid w:val="009A10EE"/>
    <w:rsid w:val="009B0B10"/>
    <w:rsid w:val="009B1804"/>
    <w:rsid w:val="009B2737"/>
    <w:rsid w:val="009B49E5"/>
    <w:rsid w:val="009C2007"/>
    <w:rsid w:val="009F1FAC"/>
    <w:rsid w:val="00A03703"/>
    <w:rsid w:val="00A05089"/>
    <w:rsid w:val="00A20993"/>
    <w:rsid w:val="00A21C8F"/>
    <w:rsid w:val="00A226BE"/>
    <w:rsid w:val="00A24F93"/>
    <w:rsid w:val="00A25CFC"/>
    <w:rsid w:val="00A26071"/>
    <w:rsid w:val="00A301F1"/>
    <w:rsid w:val="00A339C0"/>
    <w:rsid w:val="00A33E1E"/>
    <w:rsid w:val="00A42D60"/>
    <w:rsid w:val="00A43E0F"/>
    <w:rsid w:val="00A5637D"/>
    <w:rsid w:val="00A563C5"/>
    <w:rsid w:val="00A57363"/>
    <w:rsid w:val="00A57666"/>
    <w:rsid w:val="00A63D4E"/>
    <w:rsid w:val="00A65D13"/>
    <w:rsid w:val="00A8165F"/>
    <w:rsid w:val="00A8192A"/>
    <w:rsid w:val="00A84EEA"/>
    <w:rsid w:val="00AB1DFF"/>
    <w:rsid w:val="00AB3785"/>
    <w:rsid w:val="00AC4B34"/>
    <w:rsid w:val="00AC59C0"/>
    <w:rsid w:val="00AC648A"/>
    <w:rsid w:val="00AC67B6"/>
    <w:rsid w:val="00AE2C7F"/>
    <w:rsid w:val="00AF010C"/>
    <w:rsid w:val="00AF0723"/>
    <w:rsid w:val="00AF4907"/>
    <w:rsid w:val="00AF73AA"/>
    <w:rsid w:val="00B06F8B"/>
    <w:rsid w:val="00B128FD"/>
    <w:rsid w:val="00B13093"/>
    <w:rsid w:val="00B15441"/>
    <w:rsid w:val="00B25408"/>
    <w:rsid w:val="00B30964"/>
    <w:rsid w:val="00B310DB"/>
    <w:rsid w:val="00B324A6"/>
    <w:rsid w:val="00B431B0"/>
    <w:rsid w:val="00B448D7"/>
    <w:rsid w:val="00B53A04"/>
    <w:rsid w:val="00B560DB"/>
    <w:rsid w:val="00B600A9"/>
    <w:rsid w:val="00B70473"/>
    <w:rsid w:val="00B7279C"/>
    <w:rsid w:val="00B74CB3"/>
    <w:rsid w:val="00B7537D"/>
    <w:rsid w:val="00B7653A"/>
    <w:rsid w:val="00B76943"/>
    <w:rsid w:val="00B82F25"/>
    <w:rsid w:val="00B93649"/>
    <w:rsid w:val="00BA2DC4"/>
    <w:rsid w:val="00BA7A6D"/>
    <w:rsid w:val="00BB018C"/>
    <w:rsid w:val="00BB0196"/>
    <w:rsid w:val="00BB17ED"/>
    <w:rsid w:val="00BB18FB"/>
    <w:rsid w:val="00BB307D"/>
    <w:rsid w:val="00BB4854"/>
    <w:rsid w:val="00BB4ACD"/>
    <w:rsid w:val="00BB699F"/>
    <w:rsid w:val="00BD002B"/>
    <w:rsid w:val="00BE0F40"/>
    <w:rsid w:val="00BE2DEC"/>
    <w:rsid w:val="00BF0A25"/>
    <w:rsid w:val="00BF1093"/>
    <w:rsid w:val="00BF1B86"/>
    <w:rsid w:val="00BF5F4D"/>
    <w:rsid w:val="00C00CD9"/>
    <w:rsid w:val="00C03242"/>
    <w:rsid w:val="00C058A9"/>
    <w:rsid w:val="00C10973"/>
    <w:rsid w:val="00C12365"/>
    <w:rsid w:val="00C24B85"/>
    <w:rsid w:val="00C3180F"/>
    <w:rsid w:val="00C32101"/>
    <w:rsid w:val="00C378E6"/>
    <w:rsid w:val="00C5346E"/>
    <w:rsid w:val="00C536DC"/>
    <w:rsid w:val="00C55C98"/>
    <w:rsid w:val="00C6208C"/>
    <w:rsid w:val="00C673F5"/>
    <w:rsid w:val="00C67F95"/>
    <w:rsid w:val="00C727DA"/>
    <w:rsid w:val="00C74A5A"/>
    <w:rsid w:val="00C94E51"/>
    <w:rsid w:val="00CA184D"/>
    <w:rsid w:val="00CA77CA"/>
    <w:rsid w:val="00CB2E3A"/>
    <w:rsid w:val="00CC194A"/>
    <w:rsid w:val="00CC2707"/>
    <w:rsid w:val="00CC5888"/>
    <w:rsid w:val="00CC7283"/>
    <w:rsid w:val="00CE0F98"/>
    <w:rsid w:val="00CE1CB8"/>
    <w:rsid w:val="00CE5BFA"/>
    <w:rsid w:val="00CE751A"/>
    <w:rsid w:val="00CF5A5A"/>
    <w:rsid w:val="00D06381"/>
    <w:rsid w:val="00D11798"/>
    <w:rsid w:val="00D12F2F"/>
    <w:rsid w:val="00D132C5"/>
    <w:rsid w:val="00D17F30"/>
    <w:rsid w:val="00D31757"/>
    <w:rsid w:val="00D57D8A"/>
    <w:rsid w:val="00D61648"/>
    <w:rsid w:val="00D652F1"/>
    <w:rsid w:val="00D74A35"/>
    <w:rsid w:val="00D75595"/>
    <w:rsid w:val="00D779A3"/>
    <w:rsid w:val="00D81C7A"/>
    <w:rsid w:val="00D9157C"/>
    <w:rsid w:val="00D91F66"/>
    <w:rsid w:val="00D95CF3"/>
    <w:rsid w:val="00DA3741"/>
    <w:rsid w:val="00DA6605"/>
    <w:rsid w:val="00DB72EE"/>
    <w:rsid w:val="00DC6679"/>
    <w:rsid w:val="00DE3307"/>
    <w:rsid w:val="00DF1B66"/>
    <w:rsid w:val="00E02CFE"/>
    <w:rsid w:val="00E142B6"/>
    <w:rsid w:val="00E16A2C"/>
    <w:rsid w:val="00E24533"/>
    <w:rsid w:val="00E25780"/>
    <w:rsid w:val="00E33869"/>
    <w:rsid w:val="00E43163"/>
    <w:rsid w:val="00E44FF7"/>
    <w:rsid w:val="00E50275"/>
    <w:rsid w:val="00E52488"/>
    <w:rsid w:val="00E5414E"/>
    <w:rsid w:val="00E64FE8"/>
    <w:rsid w:val="00E77676"/>
    <w:rsid w:val="00E929A8"/>
    <w:rsid w:val="00E92A3B"/>
    <w:rsid w:val="00EA20C9"/>
    <w:rsid w:val="00EA4978"/>
    <w:rsid w:val="00EA6C05"/>
    <w:rsid w:val="00EB3307"/>
    <w:rsid w:val="00EC0226"/>
    <w:rsid w:val="00EC2C59"/>
    <w:rsid w:val="00EC75FE"/>
    <w:rsid w:val="00EE2B8F"/>
    <w:rsid w:val="00EE4F7C"/>
    <w:rsid w:val="00EF4308"/>
    <w:rsid w:val="00EF5E02"/>
    <w:rsid w:val="00F048E9"/>
    <w:rsid w:val="00F1130E"/>
    <w:rsid w:val="00F22860"/>
    <w:rsid w:val="00F34F0F"/>
    <w:rsid w:val="00F40526"/>
    <w:rsid w:val="00F43B6E"/>
    <w:rsid w:val="00F47E8E"/>
    <w:rsid w:val="00F57AA7"/>
    <w:rsid w:val="00F60626"/>
    <w:rsid w:val="00F616AD"/>
    <w:rsid w:val="00F62086"/>
    <w:rsid w:val="00F642F9"/>
    <w:rsid w:val="00F6503B"/>
    <w:rsid w:val="00F66253"/>
    <w:rsid w:val="00F70DA8"/>
    <w:rsid w:val="00F810D6"/>
    <w:rsid w:val="00F83E27"/>
    <w:rsid w:val="00F8450A"/>
    <w:rsid w:val="00F84626"/>
    <w:rsid w:val="00F86887"/>
    <w:rsid w:val="00F939D7"/>
    <w:rsid w:val="00F97B20"/>
    <w:rsid w:val="00FA07D7"/>
    <w:rsid w:val="00FA67C2"/>
    <w:rsid w:val="00FA6F42"/>
    <w:rsid w:val="00FB3F7A"/>
    <w:rsid w:val="00FB6196"/>
    <w:rsid w:val="00FC218F"/>
    <w:rsid w:val="00FC3668"/>
    <w:rsid w:val="00FC6D54"/>
    <w:rsid w:val="00FD0EA0"/>
    <w:rsid w:val="00FD1B23"/>
    <w:rsid w:val="00FD26F3"/>
    <w:rsid w:val="00FD7AB8"/>
    <w:rsid w:val="00FE5107"/>
    <w:rsid w:val="00FE6204"/>
    <w:rsid w:val="00FF3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54"/>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24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8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4854"/>
  </w:style>
  <w:style w:type="character" w:styleId="Refdecomentario">
    <w:name w:val="annotation reference"/>
    <w:basedOn w:val="Fuentedeprrafopredeter"/>
    <w:uiPriority w:val="99"/>
    <w:semiHidden/>
    <w:unhideWhenUsed/>
    <w:rsid w:val="00560C48"/>
    <w:rPr>
      <w:sz w:val="16"/>
      <w:szCs w:val="16"/>
    </w:rPr>
  </w:style>
  <w:style w:type="paragraph" w:styleId="Textocomentario">
    <w:name w:val="annotation text"/>
    <w:basedOn w:val="Normal"/>
    <w:link w:val="TextocomentarioCar"/>
    <w:uiPriority w:val="99"/>
    <w:semiHidden/>
    <w:unhideWhenUsed/>
    <w:rsid w:val="00560C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0C48"/>
    <w:rPr>
      <w:sz w:val="20"/>
      <w:szCs w:val="20"/>
    </w:rPr>
  </w:style>
  <w:style w:type="paragraph" w:styleId="Asuntodelcomentario">
    <w:name w:val="annotation subject"/>
    <w:basedOn w:val="Textocomentario"/>
    <w:next w:val="Textocomentario"/>
    <w:link w:val="AsuntodelcomentarioCar"/>
    <w:uiPriority w:val="99"/>
    <w:semiHidden/>
    <w:unhideWhenUsed/>
    <w:rsid w:val="00560C48"/>
    <w:rPr>
      <w:b/>
      <w:bCs/>
    </w:rPr>
  </w:style>
  <w:style w:type="character" w:customStyle="1" w:styleId="AsuntodelcomentarioCar">
    <w:name w:val="Asunto del comentario Car"/>
    <w:basedOn w:val="TextocomentarioCar"/>
    <w:link w:val="Asuntodelcomentario"/>
    <w:uiPriority w:val="99"/>
    <w:semiHidden/>
    <w:rsid w:val="00560C48"/>
    <w:rPr>
      <w:b/>
      <w:bCs/>
      <w:sz w:val="20"/>
      <w:szCs w:val="20"/>
    </w:rPr>
  </w:style>
  <w:style w:type="paragraph" w:customStyle="1" w:styleId="Default">
    <w:name w:val="Default"/>
    <w:rsid w:val="00B13093"/>
    <w:pPr>
      <w:autoSpaceDE w:val="0"/>
      <w:autoSpaceDN w:val="0"/>
      <w:adjustRightInd w:val="0"/>
      <w:spacing w:after="0" w:line="240" w:lineRule="auto"/>
    </w:pPr>
    <w:rPr>
      <w:rFonts w:ascii="Verdana" w:hAnsi="Verdana" w:cs="Verdana"/>
      <w:color w:val="000000"/>
      <w:sz w:val="24"/>
      <w:szCs w:val="24"/>
    </w:rPr>
  </w:style>
  <w:style w:type="paragraph" w:styleId="Textonotaalfinal">
    <w:name w:val="endnote text"/>
    <w:basedOn w:val="Normal"/>
    <w:link w:val="TextonotaalfinalCar"/>
    <w:uiPriority w:val="99"/>
    <w:semiHidden/>
    <w:unhideWhenUsed/>
    <w:rsid w:val="003119C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19C7"/>
    <w:rPr>
      <w:sz w:val="20"/>
      <w:szCs w:val="20"/>
    </w:rPr>
  </w:style>
  <w:style w:type="character" w:styleId="Refdenotaalfinal">
    <w:name w:val="endnote reference"/>
    <w:basedOn w:val="Fuentedeprrafopredeter"/>
    <w:uiPriority w:val="99"/>
    <w:semiHidden/>
    <w:unhideWhenUsed/>
    <w:rsid w:val="003119C7"/>
    <w:rPr>
      <w:vertAlign w:val="superscript"/>
    </w:rPr>
  </w:style>
  <w:style w:type="paragraph" w:styleId="Revisin">
    <w:name w:val="Revision"/>
    <w:hidden/>
    <w:uiPriority w:val="99"/>
    <w:semiHidden/>
    <w:rsid w:val="00A33E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54"/>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24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8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4854"/>
  </w:style>
  <w:style w:type="character" w:styleId="Refdecomentario">
    <w:name w:val="annotation reference"/>
    <w:basedOn w:val="Fuentedeprrafopredeter"/>
    <w:uiPriority w:val="99"/>
    <w:semiHidden/>
    <w:unhideWhenUsed/>
    <w:rsid w:val="00560C48"/>
    <w:rPr>
      <w:sz w:val="16"/>
      <w:szCs w:val="16"/>
    </w:rPr>
  </w:style>
  <w:style w:type="paragraph" w:styleId="Textocomentario">
    <w:name w:val="annotation text"/>
    <w:basedOn w:val="Normal"/>
    <w:link w:val="TextocomentarioCar"/>
    <w:uiPriority w:val="99"/>
    <w:semiHidden/>
    <w:unhideWhenUsed/>
    <w:rsid w:val="00560C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0C48"/>
    <w:rPr>
      <w:sz w:val="20"/>
      <w:szCs w:val="20"/>
    </w:rPr>
  </w:style>
  <w:style w:type="paragraph" w:styleId="Asuntodelcomentario">
    <w:name w:val="annotation subject"/>
    <w:basedOn w:val="Textocomentario"/>
    <w:next w:val="Textocomentario"/>
    <w:link w:val="AsuntodelcomentarioCar"/>
    <w:uiPriority w:val="99"/>
    <w:semiHidden/>
    <w:unhideWhenUsed/>
    <w:rsid w:val="00560C48"/>
    <w:rPr>
      <w:b/>
      <w:bCs/>
    </w:rPr>
  </w:style>
  <w:style w:type="character" w:customStyle="1" w:styleId="AsuntodelcomentarioCar">
    <w:name w:val="Asunto del comentario Car"/>
    <w:basedOn w:val="TextocomentarioCar"/>
    <w:link w:val="Asuntodelcomentario"/>
    <w:uiPriority w:val="99"/>
    <w:semiHidden/>
    <w:rsid w:val="00560C48"/>
    <w:rPr>
      <w:b/>
      <w:bCs/>
      <w:sz w:val="20"/>
      <w:szCs w:val="20"/>
    </w:rPr>
  </w:style>
  <w:style w:type="paragraph" w:customStyle="1" w:styleId="Default">
    <w:name w:val="Default"/>
    <w:rsid w:val="00B13093"/>
    <w:pPr>
      <w:autoSpaceDE w:val="0"/>
      <w:autoSpaceDN w:val="0"/>
      <w:adjustRightInd w:val="0"/>
      <w:spacing w:after="0" w:line="240" w:lineRule="auto"/>
    </w:pPr>
    <w:rPr>
      <w:rFonts w:ascii="Verdana" w:hAnsi="Verdana" w:cs="Verdana"/>
      <w:color w:val="000000"/>
      <w:sz w:val="24"/>
      <w:szCs w:val="24"/>
    </w:rPr>
  </w:style>
  <w:style w:type="paragraph" w:styleId="Textonotaalfinal">
    <w:name w:val="endnote text"/>
    <w:basedOn w:val="Normal"/>
    <w:link w:val="TextonotaalfinalCar"/>
    <w:uiPriority w:val="99"/>
    <w:semiHidden/>
    <w:unhideWhenUsed/>
    <w:rsid w:val="003119C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19C7"/>
    <w:rPr>
      <w:sz w:val="20"/>
      <w:szCs w:val="20"/>
    </w:rPr>
  </w:style>
  <w:style w:type="character" w:styleId="Refdenotaalfinal">
    <w:name w:val="endnote reference"/>
    <w:basedOn w:val="Fuentedeprrafopredeter"/>
    <w:uiPriority w:val="99"/>
    <w:semiHidden/>
    <w:unhideWhenUsed/>
    <w:rsid w:val="003119C7"/>
    <w:rPr>
      <w:vertAlign w:val="superscript"/>
    </w:rPr>
  </w:style>
  <w:style w:type="paragraph" w:styleId="Revisin">
    <w:name w:val="Revision"/>
    <w:hidden/>
    <w:uiPriority w:val="99"/>
    <w:semiHidden/>
    <w:rsid w:val="00A33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92680">
      <w:bodyDiv w:val="1"/>
      <w:marLeft w:val="0"/>
      <w:marRight w:val="0"/>
      <w:marTop w:val="0"/>
      <w:marBottom w:val="0"/>
      <w:divBdr>
        <w:top w:val="none" w:sz="0" w:space="0" w:color="auto"/>
        <w:left w:val="none" w:sz="0" w:space="0" w:color="auto"/>
        <w:bottom w:val="none" w:sz="0" w:space="0" w:color="auto"/>
        <w:right w:val="none" w:sz="0" w:space="0" w:color="auto"/>
      </w:divBdr>
    </w:div>
    <w:div w:id="1649819463">
      <w:bodyDiv w:val="1"/>
      <w:marLeft w:val="0"/>
      <w:marRight w:val="0"/>
      <w:marTop w:val="0"/>
      <w:marBottom w:val="0"/>
      <w:divBdr>
        <w:top w:val="none" w:sz="0" w:space="0" w:color="auto"/>
        <w:left w:val="none" w:sz="0" w:space="0" w:color="auto"/>
        <w:bottom w:val="none" w:sz="0" w:space="0" w:color="auto"/>
        <w:right w:val="none" w:sz="0" w:space="0" w:color="auto"/>
      </w:divBdr>
    </w:div>
    <w:div w:id="1970933481">
      <w:bodyDiv w:val="1"/>
      <w:marLeft w:val="0"/>
      <w:marRight w:val="0"/>
      <w:marTop w:val="0"/>
      <w:marBottom w:val="0"/>
      <w:divBdr>
        <w:top w:val="none" w:sz="0" w:space="0" w:color="auto"/>
        <w:left w:val="none" w:sz="0" w:space="0" w:color="auto"/>
        <w:bottom w:val="none" w:sz="0" w:space="0" w:color="auto"/>
        <w:right w:val="none" w:sz="0" w:space="0" w:color="auto"/>
      </w:divBdr>
    </w:div>
    <w:div w:id="20726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5330-95EB-4F97-BDD8-DC00059E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2840</Words>
  <Characters>15624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cp:lastModifiedBy>
  <cp:revision>2</cp:revision>
  <cp:lastPrinted>2017-05-08T14:11:00Z</cp:lastPrinted>
  <dcterms:created xsi:type="dcterms:W3CDTF">2017-07-04T15:51:00Z</dcterms:created>
  <dcterms:modified xsi:type="dcterms:W3CDTF">2017-07-04T15:51:00Z</dcterms:modified>
</cp:coreProperties>
</file>