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C171B8" w:rsidP="00AB10A9">
      <w:pPr>
        <w:pStyle w:val="Ttulo1"/>
      </w:pPr>
      <w:bookmarkStart w:id="0" w:name="_GoBack"/>
      <w:bookmarkEnd w:id="0"/>
    </w:p>
    <w:p w:rsidR="006805F6" w:rsidRDefault="004E2BA1"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56192" behindDoc="0" locked="0" layoutInCell="1" allowOverlap="1" wp14:anchorId="6F7FDFC5" wp14:editId="17B886D3">
                <wp:simplePos x="0" y="0"/>
                <wp:positionH relativeFrom="margin">
                  <wp:posOffset>-794385</wp:posOffset>
                </wp:positionH>
                <wp:positionV relativeFrom="paragraph">
                  <wp:posOffset>4540885</wp:posOffset>
                </wp:positionV>
                <wp:extent cx="4611370"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2626995"/>
                        </a:xfrm>
                        <a:prstGeom prst="rect">
                          <a:avLst/>
                        </a:prstGeom>
                        <a:noFill/>
                        <a:ln w="9525">
                          <a:noFill/>
                          <a:miter lim="800000"/>
                          <a:headEnd/>
                          <a:tailEnd/>
                        </a:ln>
                      </wps:spPr>
                      <wps:txbx>
                        <w:txbxContent>
                          <w:p w:rsidR="00356AB0" w:rsidRPr="002861EC" w:rsidRDefault="00356AB0" w:rsidP="004E2BA1">
                            <w:pPr>
                              <w:spacing w:line="192" w:lineRule="auto"/>
                              <w:jc w:val="center"/>
                              <w:rPr>
                                <w:rFonts w:ascii="Arial" w:hAnsi="Arial" w:cs="Arial"/>
                                <w:b/>
                                <w:color w:val="FFFFFF" w:themeColor="background1"/>
                                <w:sz w:val="40"/>
                              </w:rPr>
                            </w:pPr>
                            <w:r>
                              <w:rPr>
                                <w:rFonts w:ascii="Arial" w:hAnsi="Arial" w:cs="Arial"/>
                                <w:b/>
                                <w:color w:val="FFFFFF" w:themeColor="background1"/>
                                <w:sz w:val="52"/>
                              </w:rPr>
                              <w:t>Informe de seguimiento al Proceso de Gestión Financiera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FDFC5" id="_x0000_t202" coordsize="21600,21600" o:spt="202" path="m,l,21600r21600,l21600,xe">
                <v:stroke joinstyle="miter"/>
                <v:path gradientshapeok="t" o:connecttype="rect"/>
              </v:shapetype>
              <v:shape id="Cuadro de texto 2" o:spid="_x0000_s1026" type="#_x0000_t202" style="position:absolute;left:0;text-align:left;margin-left:-62.55pt;margin-top:357.55pt;width:363.1pt;height:206.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" filled="f" stroked="f">
                <v:textbox>
                  <w:txbxContent>
                    <w:p w:rsidR="00356AB0" w:rsidRPr="002861EC" w:rsidRDefault="00356AB0" w:rsidP="004E2BA1">
                      <w:pPr>
                        <w:spacing w:line="192" w:lineRule="auto"/>
                        <w:jc w:val="center"/>
                        <w:rPr>
                          <w:rFonts w:ascii="Arial" w:hAnsi="Arial" w:cs="Arial"/>
                          <w:b/>
                          <w:color w:val="FFFFFF" w:themeColor="background1"/>
                          <w:sz w:val="40"/>
                        </w:rPr>
                      </w:pPr>
                      <w:r>
                        <w:rPr>
                          <w:rFonts w:ascii="Arial" w:hAnsi="Arial" w:cs="Arial"/>
                          <w:b/>
                          <w:color w:val="FFFFFF" w:themeColor="background1"/>
                          <w:sz w:val="52"/>
                        </w:rPr>
                        <w:t>Informe de seguimiento al Proceso de Gestión Financiera</w:t>
                      </w:r>
                    </w:p>
                  </w:txbxContent>
                </v:textbox>
                <w10:wrap anchorx="margin"/>
              </v:shape>
            </w:pict>
          </mc:Fallback>
        </mc:AlternateContent>
      </w:r>
      <w:r w:rsidR="008B5162"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11EC7F4B" wp14:editId="38DC1E36">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356AB0" w:rsidRPr="008B5162" w:rsidRDefault="00356AB0"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C7F4B" id="_x0000_s1027" type="#_x0000_t202" style="position:absolute;left:0;text-align:left;margin-left:353.05pt;margin-top:584.05pt;width:105.45pt;height: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" filled="f" stroked="f">
                <v:textbox>
                  <w:txbxContent>
                    <w:p w:rsidR="00356AB0" w:rsidRPr="008B5162" w:rsidRDefault="00356AB0"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14:anchorId="5FA73043" wp14:editId="2BF3541B">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356AB0" w:rsidRPr="004E2BA1" w:rsidRDefault="00356AB0"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Noviembre</w:t>
                            </w:r>
                          </w:p>
                          <w:p w:rsidR="00356AB0" w:rsidRPr="004E2BA1" w:rsidRDefault="00356AB0"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20</w:t>
                            </w:r>
                            <w:r>
                              <w:rPr>
                                <w:rFonts w:ascii="Arial" w:hAnsi="Arial" w:cs="Arial"/>
                                <w:b/>
                                <w:color w:val="FFFFFF" w:themeColor="background1"/>
                                <w:sz w:val="28"/>
                                <w:szCs w:val="28"/>
                              </w:rPr>
                              <w:t>20</w:t>
                            </w:r>
                          </w:p>
                          <w:p w:rsidR="00356AB0" w:rsidRPr="008B5162" w:rsidRDefault="00356AB0"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73043" id="_x0000_s1028" type="#_x0000_t202" style="position:absolute;left:0;text-align:left;margin-left:-12.7pt;margin-top:579.05pt;width:122.35pt;height:4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356AB0" w:rsidRPr="004E2BA1" w:rsidRDefault="00356AB0"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Noviembre</w:t>
                      </w:r>
                    </w:p>
                    <w:p w:rsidR="00356AB0" w:rsidRPr="004E2BA1" w:rsidRDefault="00356AB0"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20</w:t>
                      </w:r>
                      <w:r>
                        <w:rPr>
                          <w:rFonts w:ascii="Arial" w:hAnsi="Arial" w:cs="Arial"/>
                          <w:b/>
                          <w:color w:val="FFFFFF" w:themeColor="background1"/>
                          <w:sz w:val="28"/>
                          <w:szCs w:val="28"/>
                        </w:rPr>
                        <w:t>20</w:t>
                      </w:r>
                    </w:p>
                    <w:p w:rsidR="00356AB0" w:rsidRPr="008B5162" w:rsidRDefault="00356AB0" w:rsidP="00781945">
                      <w:pPr>
                        <w:rPr>
                          <w:rFonts w:ascii="Arial" w:hAnsi="Arial" w:cs="Arial"/>
                          <w:color w:val="FFFFFF" w:themeColor="background1"/>
                          <w:sz w:val="24"/>
                          <w:szCs w:val="24"/>
                        </w:rPr>
                      </w:pPr>
                    </w:p>
                  </w:txbxContent>
                </v:textbox>
                <w10:wrap anchorx="margin"/>
              </v:shape>
            </w:pict>
          </mc:Fallback>
        </mc:AlternateContent>
      </w:r>
      <w:r w:rsidR="006805F6">
        <w:br w:type="page"/>
      </w:r>
    </w:p>
    <w:p w:rsidR="00803A6E" w:rsidRDefault="00FF1F8D" w:rsidP="00FF1F8D">
      <w:pPr>
        <w:jc w:val="center"/>
        <w:rPr>
          <w:rFonts w:ascii="Arial" w:hAnsi="Arial" w:cs="Arial"/>
          <w:b/>
        </w:rPr>
      </w:pPr>
      <w:r w:rsidRPr="00FF1F8D">
        <w:rPr>
          <w:rFonts w:ascii="Arial" w:hAnsi="Arial" w:cs="Arial"/>
          <w:b/>
        </w:rPr>
        <w:lastRenderedPageBreak/>
        <w:t>INTRODUCCIÓN</w:t>
      </w:r>
    </w:p>
    <w:p w:rsidR="00FF1F8D" w:rsidRDefault="00FF1F8D" w:rsidP="00FF1F8D">
      <w:pPr>
        <w:jc w:val="center"/>
        <w:rPr>
          <w:rFonts w:ascii="Arial" w:hAnsi="Arial" w:cs="Arial"/>
          <w:b/>
        </w:rPr>
      </w:pPr>
    </w:p>
    <w:p w:rsidR="00FF1F8D" w:rsidRDefault="00FF1F8D" w:rsidP="00FF1F8D">
      <w:pPr>
        <w:jc w:val="center"/>
        <w:rPr>
          <w:rFonts w:ascii="Arial" w:hAnsi="Arial" w:cs="Arial"/>
          <w:b/>
        </w:rPr>
      </w:pPr>
    </w:p>
    <w:p w:rsidR="00FF1F8D" w:rsidRPr="00FF1F8D" w:rsidRDefault="00FF1F8D" w:rsidP="00FF1F8D">
      <w:pPr>
        <w:jc w:val="center"/>
        <w:rPr>
          <w:rFonts w:ascii="Arial" w:hAnsi="Arial" w:cs="Arial"/>
          <w:b/>
        </w:rPr>
      </w:pPr>
    </w:p>
    <w:p w:rsidR="00FF1F8D" w:rsidRDefault="00FF1F8D" w:rsidP="00FF1F8D">
      <w:pPr>
        <w:jc w:val="both"/>
        <w:rPr>
          <w:rFonts w:ascii="Arial" w:hAnsi="Arial" w:cs="Arial"/>
        </w:rPr>
      </w:pPr>
      <w:r>
        <w:rPr>
          <w:rFonts w:ascii="Arial" w:hAnsi="Arial" w:cs="Arial"/>
        </w:rPr>
        <w:t xml:space="preserve">El Grupo de Gestión Financiera </w:t>
      </w:r>
      <w:r w:rsidRPr="00FF1F8D">
        <w:rPr>
          <w:rFonts w:ascii="Arial" w:hAnsi="Arial" w:cs="Arial"/>
        </w:rPr>
        <w:t xml:space="preserve">tiene como </w:t>
      </w:r>
      <w:r>
        <w:rPr>
          <w:rFonts w:ascii="Arial" w:hAnsi="Arial" w:cs="Arial"/>
        </w:rPr>
        <w:t>objetivo</w:t>
      </w:r>
      <w:r w:rsidRPr="00FF1F8D">
        <w:rPr>
          <w:rFonts w:ascii="Arial" w:hAnsi="Arial" w:cs="Arial"/>
        </w:rPr>
        <w:t xml:space="preserve"> </w:t>
      </w:r>
      <w:r>
        <w:rPr>
          <w:rFonts w:ascii="Arial" w:hAnsi="Arial" w:cs="Arial"/>
        </w:rPr>
        <w:t>fundamental g</w:t>
      </w:r>
      <w:r w:rsidRPr="00FF1F8D">
        <w:rPr>
          <w:rFonts w:ascii="Arial" w:hAnsi="Arial" w:cs="Arial"/>
        </w:rPr>
        <w:t>estionar durante cada vigencia fiscal los recursos financieros necesarios para el cumplimiento de la misión institucional, reflejando la realidad económica, social y ambiental, de acuerdo a los requisitos del servicio y la normativa vigente en la materia</w:t>
      </w:r>
      <w:r>
        <w:rPr>
          <w:rFonts w:ascii="Arial" w:hAnsi="Arial" w:cs="Arial"/>
        </w:rPr>
        <w:t xml:space="preserve">, para lo cual ha definido en el Sistema Integrado de </w:t>
      </w:r>
      <w:r w:rsidR="00E22040">
        <w:rPr>
          <w:rFonts w:ascii="Arial" w:hAnsi="Arial" w:cs="Arial"/>
        </w:rPr>
        <w:t xml:space="preserve">Planeación y </w:t>
      </w:r>
      <w:r>
        <w:rPr>
          <w:rFonts w:ascii="Arial" w:hAnsi="Arial" w:cs="Arial"/>
        </w:rPr>
        <w:t>Gestión</w:t>
      </w:r>
      <w:r w:rsidR="008D1747">
        <w:rPr>
          <w:rFonts w:ascii="Arial" w:hAnsi="Arial" w:cs="Arial"/>
        </w:rPr>
        <w:t xml:space="preserve"> cuatro </w:t>
      </w:r>
      <w:r w:rsidR="006C661D">
        <w:rPr>
          <w:rFonts w:ascii="Arial" w:hAnsi="Arial" w:cs="Arial"/>
        </w:rPr>
        <w:t xml:space="preserve">(4) </w:t>
      </w:r>
      <w:r w:rsidR="008D1747">
        <w:rPr>
          <w:rFonts w:ascii="Arial" w:hAnsi="Arial" w:cs="Arial"/>
        </w:rPr>
        <w:t>procedimientos, el manual de políticas contables, el m</w:t>
      </w:r>
      <w:r w:rsidR="008D1747" w:rsidRPr="008D1747">
        <w:rPr>
          <w:rFonts w:ascii="Arial" w:hAnsi="Arial" w:cs="Arial"/>
        </w:rPr>
        <w:t>anual de usuario radicación y trámite para el pago de honorarios de los contratos de prestación de servicios profesionales y de apoyo a la gestión</w:t>
      </w:r>
      <w:r w:rsidR="002D5E48">
        <w:rPr>
          <w:rFonts w:ascii="Arial" w:hAnsi="Arial" w:cs="Arial"/>
        </w:rPr>
        <w:t>, los riesgos y los indicadores.</w:t>
      </w:r>
    </w:p>
    <w:p w:rsidR="00FF1F8D" w:rsidRDefault="00FF1F8D" w:rsidP="00FF1F8D">
      <w:pPr>
        <w:jc w:val="both"/>
        <w:rPr>
          <w:rFonts w:ascii="Arial" w:hAnsi="Arial" w:cs="Arial"/>
        </w:rPr>
      </w:pPr>
    </w:p>
    <w:p w:rsidR="00FF1F8D" w:rsidRDefault="00BE234C" w:rsidP="00FF1F8D">
      <w:pPr>
        <w:jc w:val="both"/>
        <w:rPr>
          <w:rFonts w:ascii="Arial" w:hAnsi="Arial" w:cs="Arial"/>
        </w:rPr>
      </w:pPr>
      <w:r>
        <w:rPr>
          <w:rFonts w:ascii="Arial" w:hAnsi="Arial" w:cs="Arial"/>
        </w:rPr>
        <w:t>L</w:t>
      </w:r>
      <w:r w:rsidR="00FF1F8D" w:rsidRPr="00FF1F8D">
        <w:rPr>
          <w:rFonts w:ascii="Arial" w:hAnsi="Arial" w:cs="Arial"/>
        </w:rPr>
        <w:t>as políticas contables son lineamientos generales de carácter transversal,</w:t>
      </w:r>
      <w:r w:rsidR="00FF1F8D">
        <w:rPr>
          <w:rFonts w:ascii="Arial" w:hAnsi="Arial" w:cs="Arial"/>
        </w:rPr>
        <w:t xml:space="preserve"> </w:t>
      </w:r>
      <w:r w:rsidR="00FF1F8D" w:rsidRPr="00FF1F8D">
        <w:rPr>
          <w:rFonts w:ascii="Arial" w:hAnsi="Arial" w:cs="Arial"/>
        </w:rPr>
        <w:t>con incidencia directa sobre la orientación del proceso contable de Función Pública.</w:t>
      </w:r>
      <w:r w:rsidR="00FF1F8D">
        <w:rPr>
          <w:rFonts w:ascii="Arial" w:hAnsi="Arial" w:cs="Arial"/>
        </w:rPr>
        <w:t xml:space="preserve"> </w:t>
      </w:r>
      <w:r w:rsidR="00FF1F8D" w:rsidRPr="00FF1F8D">
        <w:rPr>
          <w:rFonts w:ascii="Arial" w:hAnsi="Arial" w:cs="Arial"/>
        </w:rPr>
        <w:t xml:space="preserve">Estas políticas se componen de las normas </w:t>
      </w:r>
      <w:r w:rsidR="002D5E48">
        <w:rPr>
          <w:rFonts w:ascii="Arial" w:hAnsi="Arial" w:cs="Arial"/>
        </w:rPr>
        <w:t xml:space="preserve">expedidas </w:t>
      </w:r>
      <w:r w:rsidR="00FF1F8D" w:rsidRPr="00FF1F8D">
        <w:rPr>
          <w:rFonts w:ascii="Arial" w:hAnsi="Arial" w:cs="Arial"/>
        </w:rPr>
        <w:t>por la Contaduría General de la</w:t>
      </w:r>
      <w:r w:rsidR="00FF1F8D">
        <w:rPr>
          <w:rFonts w:ascii="Arial" w:hAnsi="Arial" w:cs="Arial"/>
        </w:rPr>
        <w:t xml:space="preserve"> </w:t>
      </w:r>
      <w:r w:rsidR="00FF1F8D" w:rsidRPr="00FF1F8D">
        <w:rPr>
          <w:rFonts w:ascii="Arial" w:hAnsi="Arial" w:cs="Arial"/>
        </w:rPr>
        <w:t>Nación y por los aspectos específicos de los hechos económicos ocurridos en Función</w:t>
      </w:r>
      <w:r w:rsidR="00FF1F8D">
        <w:rPr>
          <w:rFonts w:ascii="Arial" w:hAnsi="Arial" w:cs="Arial"/>
        </w:rPr>
        <w:t xml:space="preserve"> </w:t>
      </w:r>
      <w:r w:rsidR="00FF1F8D" w:rsidRPr="00FF1F8D">
        <w:rPr>
          <w:rFonts w:ascii="Arial" w:hAnsi="Arial" w:cs="Arial"/>
        </w:rPr>
        <w:t>Pública, lo cual es aplicado de manera uniforme para transacciones, hechos económicos</w:t>
      </w:r>
      <w:r w:rsidR="00FF1F8D">
        <w:rPr>
          <w:rFonts w:ascii="Arial" w:hAnsi="Arial" w:cs="Arial"/>
        </w:rPr>
        <w:t xml:space="preserve"> </w:t>
      </w:r>
      <w:r w:rsidR="00FF1F8D" w:rsidRPr="00FF1F8D">
        <w:rPr>
          <w:rFonts w:ascii="Arial" w:hAnsi="Arial" w:cs="Arial"/>
        </w:rPr>
        <w:t xml:space="preserve">y operaciones de similares características, según lo </w:t>
      </w:r>
      <w:r w:rsidR="002D5E48">
        <w:rPr>
          <w:rFonts w:ascii="Arial" w:hAnsi="Arial" w:cs="Arial"/>
        </w:rPr>
        <w:t>establecido</w:t>
      </w:r>
      <w:r w:rsidR="00FF1F8D" w:rsidRPr="00FF1F8D">
        <w:rPr>
          <w:rFonts w:ascii="Arial" w:hAnsi="Arial" w:cs="Arial"/>
        </w:rPr>
        <w:t xml:space="preserve"> en la Resolución </w:t>
      </w:r>
      <w:r w:rsidR="00E509F2">
        <w:rPr>
          <w:rFonts w:ascii="Arial" w:hAnsi="Arial" w:cs="Arial"/>
        </w:rPr>
        <w:t xml:space="preserve">No. </w:t>
      </w:r>
      <w:r w:rsidR="00FF1F8D" w:rsidRPr="00FF1F8D">
        <w:rPr>
          <w:rFonts w:ascii="Arial" w:hAnsi="Arial" w:cs="Arial"/>
        </w:rPr>
        <w:t>193</w:t>
      </w:r>
      <w:r w:rsidR="00FF1F8D">
        <w:rPr>
          <w:rFonts w:ascii="Arial" w:hAnsi="Arial" w:cs="Arial"/>
        </w:rPr>
        <w:t xml:space="preserve"> </w:t>
      </w:r>
      <w:r w:rsidR="002D5E48">
        <w:rPr>
          <w:rFonts w:ascii="Arial" w:hAnsi="Arial" w:cs="Arial"/>
        </w:rPr>
        <w:t>de 2016</w:t>
      </w:r>
      <w:r w:rsidR="00B71C0F">
        <w:rPr>
          <w:rFonts w:ascii="Arial" w:hAnsi="Arial" w:cs="Arial"/>
        </w:rPr>
        <w:t xml:space="preserve"> </w:t>
      </w:r>
      <w:r w:rsidR="00B71C0F" w:rsidRPr="00B71C0F">
        <w:rPr>
          <w:rFonts w:ascii="Arial" w:hAnsi="Arial" w:cs="Arial"/>
          <w:i/>
        </w:rPr>
        <w:t>"Por la cual se Incorpora, en los Procedimientos Transversales del Régimen de Contabilidad Pública, el Procedimiento para la evaluación del control interno contable</w:t>
      </w:r>
      <w:r w:rsidR="00B71C0F" w:rsidRPr="00B71C0F">
        <w:rPr>
          <w:rFonts w:ascii="Arial" w:hAnsi="Arial" w:cs="Arial"/>
        </w:rPr>
        <w:t>"</w:t>
      </w:r>
      <w:r w:rsidR="002D5E48">
        <w:rPr>
          <w:rFonts w:ascii="Arial" w:hAnsi="Arial" w:cs="Arial"/>
        </w:rPr>
        <w:t>; aspectos que trataremos en el presente seguimiento.</w:t>
      </w:r>
    </w:p>
    <w:p w:rsidR="00803A6E" w:rsidRPr="00FF1F8D" w:rsidRDefault="00803A6E" w:rsidP="00FF1F8D">
      <w:pPr>
        <w:jc w:val="both"/>
        <w:rPr>
          <w:rFonts w:ascii="Arial" w:hAnsi="Arial" w:cs="Arial"/>
        </w:rPr>
      </w:pPr>
    </w:p>
    <w:p w:rsidR="00803A6E" w:rsidRDefault="00E22040" w:rsidP="00B71C0F">
      <w:pPr>
        <w:autoSpaceDE w:val="0"/>
        <w:autoSpaceDN w:val="0"/>
        <w:adjustRightInd w:val="0"/>
        <w:jc w:val="both"/>
        <w:rPr>
          <w:rFonts w:ascii="Arial" w:hAnsi="Arial" w:cs="Arial"/>
        </w:rPr>
      </w:pPr>
      <w:r w:rsidRPr="00E22040">
        <w:rPr>
          <w:rFonts w:ascii="Arial" w:hAnsi="Arial" w:cs="Arial"/>
        </w:rPr>
        <w:t>Así mismo</w:t>
      </w:r>
      <w:r>
        <w:rPr>
          <w:rFonts w:ascii="Arial" w:hAnsi="Arial" w:cs="Arial"/>
        </w:rPr>
        <w:t>,</w:t>
      </w:r>
      <w:r w:rsidRPr="00E22040">
        <w:rPr>
          <w:rFonts w:ascii="Arial" w:hAnsi="Arial" w:cs="Arial"/>
        </w:rPr>
        <w:t xml:space="preserve"> se evaluar</w:t>
      </w:r>
      <w:r>
        <w:rPr>
          <w:rFonts w:ascii="Arial" w:hAnsi="Arial" w:cs="Arial"/>
        </w:rPr>
        <w:t>á</w:t>
      </w:r>
      <w:r w:rsidRPr="00E22040">
        <w:rPr>
          <w:rFonts w:ascii="Arial" w:hAnsi="Arial" w:cs="Arial"/>
        </w:rPr>
        <w:t xml:space="preserve"> el cumplimiento a lo establecido en la resolución 109 del 17 de junio de 2020</w:t>
      </w:r>
      <w:r w:rsidR="00B71C0F">
        <w:rPr>
          <w:rFonts w:ascii="Arial" w:hAnsi="Arial" w:cs="Arial"/>
        </w:rPr>
        <w:t xml:space="preserve"> de la Contaduría General de la Nación,”</w:t>
      </w:r>
      <w:r w:rsidRPr="00E22040">
        <w:rPr>
          <w:rFonts w:ascii="Arial" w:hAnsi="Arial" w:cs="Arial"/>
        </w:rPr>
        <w:t xml:space="preserve"> </w:t>
      </w:r>
      <w:r w:rsidRPr="00B71C0F">
        <w:rPr>
          <w:rFonts w:ascii="Arial" w:hAnsi="Arial" w:cs="Arial"/>
          <w:i/>
        </w:rPr>
        <w:t>Por la cual se adiciona un formulario de reporte en los términos del artículo 7° de la Resolución No. 706 de diciembre 16 de 2016 (modificada por las resoluciones No. 043 de febrero 8 de 2017, 097 de marzo 15 de 2017 y 441 de diciembre 26 de 2019), para la presentación y reporte de la información financiera específica, correspondiente a los periodos abril - junio de 2020 y siguientes hasta que duren los impactos generados por el COVID-19</w:t>
      </w:r>
      <w:r w:rsidR="00B71C0F">
        <w:rPr>
          <w:rFonts w:ascii="Arial" w:hAnsi="Arial" w:cs="Arial"/>
          <w:i/>
        </w:rPr>
        <w:t>”.</w:t>
      </w: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2D5E48">
      <w:pPr>
        <w:pStyle w:val="Prrafodelista"/>
        <w:numPr>
          <w:ilvl w:val="0"/>
          <w:numId w:val="19"/>
        </w:numPr>
        <w:jc w:val="both"/>
        <w:rPr>
          <w:rFonts w:ascii="Arial" w:hAnsi="Arial" w:cs="Arial"/>
          <w:b/>
        </w:rPr>
      </w:pPr>
      <w:r w:rsidRPr="007A61AE">
        <w:rPr>
          <w:rFonts w:ascii="Arial" w:hAnsi="Arial" w:cs="Arial"/>
          <w:b/>
        </w:rPr>
        <w:t>Ejecución Presupuestal</w:t>
      </w:r>
    </w:p>
    <w:p w:rsidR="00BE2FFD" w:rsidRDefault="00BE2FFD" w:rsidP="00BE2FFD">
      <w:pPr>
        <w:jc w:val="both"/>
        <w:rPr>
          <w:rFonts w:ascii="Arial" w:hAnsi="Arial" w:cs="Arial"/>
          <w:b/>
        </w:rPr>
      </w:pPr>
    </w:p>
    <w:p w:rsidR="00BE2FFD" w:rsidRDefault="00BE2FFD" w:rsidP="00BE2FFD">
      <w:pPr>
        <w:jc w:val="both"/>
        <w:rPr>
          <w:rFonts w:ascii="Arial" w:hAnsi="Arial" w:cs="Arial"/>
        </w:rPr>
      </w:pPr>
      <w:r w:rsidRPr="00BE2FFD">
        <w:rPr>
          <w:rFonts w:ascii="Arial" w:hAnsi="Arial" w:cs="Arial"/>
        </w:rPr>
        <w:t>Mediante resolución 001 del 02 de enero de 2020</w:t>
      </w:r>
      <w:r>
        <w:rPr>
          <w:rFonts w:ascii="Arial" w:hAnsi="Arial" w:cs="Arial"/>
        </w:rPr>
        <w:t xml:space="preserve"> </w:t>
      </w:r>
      <w:r w:rsidR="009F6516" w:rsidRPr="009F6516">
        <w:rPr>
          <w:rFonts w:ascii="Arial" w:hAnsi="Arial" w:cs="Arial"/>
          <w:i/>
        </w:rPr>
        <w:t>“Por</w:t>
      </w:r>
      <w:r w:rsidRPr="009F6516">
        <w:rPr>
          <w:rFonts w:ascii="Arial" w:hAnsi="Arial" w:cs="Arial"/>
          <w:i/>
        </w:rPr>
        <w:t xml:space="preserve"> el cual se hace la distribución en el Presupuesto de Funcionamiento e Inversión del Departamento Administra</w:t>
      </w:r>
      <w:r w:rsidR="009F6516" w:rsidRPr="009F6516">
        <w:rPr>
          <w:rFonts w:ascii="Arial" w:hAnsi="Arial" w:cs="Arial"/>
          <w:i/>
        </w:rPr>
        <w:t xml:space="preserve">tivo de la </w:t>
      </w:r>
      <w:r w:rsidRPr="009F6516">
        <w:rPr>
          <w:rFonts w:ascii="Arial" w:hAnsi="Arial" w:cs="Arial"/>
          <w:i/>
        </w:rPr>
        <w:t xml:space="preserve">Función Pública para la vigencia </w:t>
      </w:r>
      <w:r w:rsidR="009F6516" w:rsidRPr="009F6516">
        <w:rPr>
          <w:rFonts w:ascii="Arial" w:hAnsi="Arial" w:cs="Arial"/>
          <w:i/>
        </w:rPr>
        <w:t>f</w:t>
      </w:r>
      <w:r w:rsidRPr="009F6516">
        <w:rPr>
          <w:rFonts w:ascii="Arial" w:hAnsi="Arial" w:cs="Arial"/>
          <w:i/>
        </w:rPr>
        <w:t>iscal del año 2020”</w:t>
      </w:r>
      <w:r w:rsidR="009F6516">
        <w:rPr>
          <w:rFonts w:ascii="Arial" w:hAnsi="Arial" w:cs="Arial"/>
        </w:rPr>
        <w:t>, se efectuó la siguiente distribución:</w:t>
      </w:r>
    </w:p>
    <w:p w:rsidR="009F6516" w:rsidRDefault="009F6516" w:rsidP="00BE2FFD">
      <w:pPr>
        <w:jc w:val="both"/>
        <w:rPr>
          <w:rFonts w:ascii="Arial" w:hAnsi="Arial" w:cs="Arial"/>
        </w:rPr>
      </w:pPr>
    </w:p>
    <w:tbl>
      <w:tblPr>
        <w:tblStyle w:val="Tabladelista3-nfasis1"/>
        <w:tblW w:w="0" w:type="auto"/>
        <w:tblLook w:val="04A0" w:firstRow="1" w:lastRow="0" w:firstColumn="1" w:lastColumn="0" w:noHBand="0" w:noVBand="1"/>
      </w:tblPr>
      <w:tblGrid>
        <w:gridCol w:w="6232"/>
        <w:gridCol w:w="2830"/>
      </w:tblGrid>
      <w:tr w:rsidR="009F6516" w:rsidRPr="002F1ABC" w:rsidTr="005D0A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tcPr>
          <w:p w:rsidR="009F6516" w:rsidRPr="002F1ABC" w:rsidRDefault="009F6516" w:rsidP="009F6516">
            <w:pPr>
              <w:jc w:val="center"/>
              <w:rPr>
                <w:rFonts w:asciiTheme="majorHAnsi" w:hAnsiTheme="majorHAnsi" w:cstheme="majorHAnsi"/>
              </w:rPr>
            </w:pPr>
            <w:r w:rsidRPr="002F1ABC">
              <w:rPr>
                <w:rFonts w:asciiTheme="majorHAnsi" w:hAnsiTheme="majorHAnsi" w:cstheme="majorHAnsi"/>
              </w:rPr>
              <w:t>CONCEPTO</w:t>
            </w:r>
          </w:p>
        </w:tc>
        <w:tc>
          <w:tcPr>
            <w:tcW w:w="2830" w:type="dxa"/>
          </w:tcPr>
          <w:p w:rsidR="009F6516" w:rsidRDefault="009F6516" w:rsidP="009F651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2F1ABC">
              <w:rPr>
                <w:rFonts w:asciiTheme="majorHAnsi" w:hAnsiTheme="majorHAnsi" w:cstheme="majorHAnsi"/>
              </w:rPr>
              <w:t>VALOR</w:t>
            </w:r>
          </w:p>
          <w:p w:rsidR="002B2C2D" w:rsidRPr="002F1ABC" w:rsidRDefault="002B2C2D" w:rsidP="009F651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9F6516" w:rsidRPr="002B2C2D" w:rsidTr="005D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9F6516" w:rsidP="00BE2FFD">
            <w:pPr>
              <w:jc w:val="both"/>
              <w:rPr>
                <w:rFonts w:asciiTheme="majorHAnsi" w:hAnsiTheme="majorHAnsi" w:cstheme="majorHAnsi"/>
                <w:sz w:val="20"/>
                <w:szCs w:val="20"/>
              </w:rPr>
            </w:pPr>
            <w:r w:rsidRPr="002B2C2D">
              <w:rPr>
                <w:rFonts w:asciiTheme="majorHAnsi" w:hAnsiTheme="majorHAnsi" w:cstheme="majorHAnsi"/>
                <w:sz w:val="20"/>
                <w:szCs w:val="20"/>
              </w:rPr>
              <w:t xml:space="preserve">FUNCIONAMIENTO </w:t>
            </w:r>
          </w:p>
        </w:tc>
        <w:tc>
          <w:tcPr>
            <w:tcW w:w="2830" w:type="dxa"/>
          </w:tcPr>
          <w:p w:rsidR="009F6516" w:rsidRPr="002B2C2D" w:rsidRDefault="009F6516" w:rsidP="008C3E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2B2C2D">
              <w:rPr>
                <w:rFonts w:asciiTheme="majorHAnsi" w:hAnsiTheme="majorHAnsi" w:cstheme="majorHAnsi"/>
                <w:b/>
                <w:sz w:val="20"/>
                <w:szCs w:val="20"/>
              </w:rPr>
              <w:t>21.183.930.000</w:t>
            </w:r>
          </w:p>
        </w:tc>
      </w:tr>
      <w:tr w:rsidR="009F6516" w:rsidRPr="002B2C2D" w:rsidTr="005D0AFE">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9F6516" w:rsidP="00BE2FFD">
            <w:pPr>
              <w:jc w:val="both"/>
              <w:rPr>
                <w:rFonts w:asciiTheme="majorHAnsi" w:hAnsiTheme="majorHAnsi" w:cstheme="majorHAnsi"/>
                <w:b w:val="0"/>
                <w:sz w:val="20"/>
                <w:szCs w:val="20"/>
              </w:rPr>
            </w:pPr>
            <w:r w:rsidRPr="002B2C2D">
              <w:rPr>
                <w:rFonts w:asciiTheme="majorHAnsi" w:hAnsiTheme="majorHAnsi" w:cstheme="majorHAnsi"/>
                <w:b w:val="0"/>
                <w:sz w:val="20"/>
                <w:szCs w:val="20"/>
              </w:rPr>
              <w:t>Gastos de personal</w:t>
            </w:r>
          </w:p>
        </w:tc>
        <w:tc>
          <w:tcPr>
            <w:tcW w:w="2830" w:type="dxa"/>
          </w:tcPr>
          <w:p w:rsidR="009F6516" w:rsidRPr="002B2C2D" w:rsidRDefault="009F6516" w:rsidP="008C3EB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2C2D">
              <w:rPr>
                <w:rFonts w:asciiTheme="majorHAnsi" w:hAnsiTheme="majorHAnsi" w:cstheme="majorHAnsi"/>
                <w:sz w:val="20"/>
                <w:szCs w:val="20"/>
              </w:rPr>
              <w:t>17.966.000.000</w:t>
            </w:r>
          </w:p>
        </w:tc>
      </w:tr>
      <w:tr w:rsidR="009F6516" w:rsidRPr="002B2C2D" w:rsidTr="005D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9F6516" w:rsidP="00BE2FFD">
            <w:pPr>
              <w:jc w:val="both"/>
              <w:rPr>
                <w:rFonts w:asciiTheme="majorHAnsi" w:hAnsiTheme="majorHAnsi" w:cstheme="majorHAnsi"/>
                <w:b w:val="0"/>
                <w:sz w:val="20"/>
                <w:szCs w:val="20"/>
              </w:rPr>
            </w:pPr>
            <w:r w:rsidRPr="002B2C2D">
              <w:rPr>
                <w:rFonts w:asciiTheme="majorHAnsi" w:hAnsiTheme="majorHAnsi" w:cstheme="majorHAnsi"/>
                <w:b w:val="0"/>
                <w:sz w:val="20"/>
                <w:szCs w:val="20"/>
              </w:rPr>
              <w:t>Adquisición de bienes y servicios</w:t>
            </w:r>
          </w:p>
        </w:tc>
        <w:tc>
          <w:tcPr>
            <w:tcW w:w="2830" w:type="dxa"/>
          </w:tcPr>
          <w:p w:rsidR="009F6516" w:rsidRPr="002B2C2D" w:rsidRDefault="009F6516" w:rsidP="008C3E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2C2D">
              <w:rPr>
                <w:rFonts w:asciiTheme="majorHAnsi" w:hAnsiTheme="majorHAnsi" w:cstheme="majorHAnsi"/>
                <w:sz w:val="20"/>
                <w:szCs w:val="20"/>
              </w:rPr>
              <w:t xml:space="preserve">  2.584.700.000</w:t>
            </w:r>
          </w:p>
        </w:tc>
      </w:tr>
      <w:tr w:rsidR="009F6516" w:rsidRPr="002B2C2D" w:rsidTr="005D0AFE">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9F6516" w:rsidP="00BE2FFD">
            <w:pPr>
              <w:jc w:val="both"/>
              <w:rPr>
                <w:rFonts w:asciiTheme="majorHAnsi" w:hAnsiTheme="majorHAnsi" w:cstheme="majorHAnsi"/>
                <w:sz w:val="20"/>
                <w:szCs w:val="20"/>
              </w:rPr>
            </w:pPr>
            <w:r w:rsidRPr="002B2C2D">
              <w:rPr>
                <w:rFonts w:asciiTheme="majorHAnsi" w:hAnsiTheme="majorHAnsi" w:cstheme="majorHAnsi"/>
                <w:sz w:val="20"/>
                <w:szCs w:val="20"/>
              </w:rPr>
              <w:t>INVERSIÓN</w:t>
            </w:r>
          </w:p>
        </w:tc>
        <w:tc>
          <w:tcPr>
            <w:tcW w:w="2830" w:type="dxa"/>
          </w:tcPr>
          <w:p w:rsidR="009F6516" w:rsidRPr="002B2C2D" w:rsidRDefault="009F6516" w:rsidP="008C3EB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2B2C2D">
              <w:rPr>
                <w:rFonts w:asciiTheme="majorHAnsi" w:hAnsiTheme="majorHAnsi" w:cstheme="majorHAnsi"/>
                <w:b/>
                <w:sz w:val="20"/>
                <w:szCs w:val="20"/>
              </w:rPr>
              <w:t>12.097.418.487</w:t>
            </w:r>
          </w:p>
        </w:tc>
      </w:tr>
      <w:tr w:rsidR="009F6516" w:rsidRPr="002B2C2D" w:rsidTr="005D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9F6516" w:rsidP="00BE2FFD">
            <w:pPr>
              <w:jc w:val="both"/>
              <w:rPr>
                <w:rFonts w:asciiTheme="majorHAnsi" w:hAnsiTheme="majorHAnsi" w:cstheme="majorHAnsi"/>
                <w:b w:val="0"/>
                <w:sz w:val="20"/>
                <w:szCs w:val="20"/>
              </w:rPr>
            </w:pPr>
            <w:r w:rsidRPr="002B2C2D">
              <w:rPr>
                <w:rFonts w:asciiTheme="majorHAnsi" w:hAnsiTheme="majorHAnsi" w:cstheme="majorHAnsi"/>
                <w:b w:val="0"/>
                <w:sz w:val="20"/>
                <w:szCs w:val="20"/>
              </w:rPr>
              <w:t>Fortalecimiento de la Gestión Pública en las Entidades Nacionales y Territoriales</w:t>
            </w:r>
          </w:p>
        </w:tc>
        <w:tc>
          <w:tcPr>
            <w:tcW w:w="2830" w:type="dxa"/>
          </w:tcPr>
          <w:p w:rsidR="009F6516" w:rsidRPr="002B2C2D" w:rsidRDefault="00E8006A" w:rsidP="008C3E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2C2D">
              <w:rPr>
                <w:rFonts w:asciiTheme="majorHAnsi" w:hAnsiTheme="majorHAnsi" w:cstheme="majorHAnsi"/>
                <w:sz w:val="20"/>
                <w:szCs w:val="20"/>
              </w:rPr>
              <w:t xml:space="preserve">  </w:t>
            </w:r>
            <w:r w:rsidR="009F6516" w:rsidRPr="002B2C2D">
              <w:rPr>
                <w:rFonts w:asciiTheme="majorHAnsi" w:hAnsiTheme="majorHAnsi" w:cstheme="majorHAnsi"/>
                <w:sz w:val="20"/>
                <w:szCs w:val="20"/>
              </w:rPr>
              <w:t>7.753.165.</w:t>
            </w:r>
            <w:r w:rsidRPr="002B2C2D">
              <w:rPr>
                <w:rFonts w:asciiTheme="majorHAnsi" w:hAnsiTheme="majorHAnsi" w:cstheme="majorHAnsi"/>
                <w:sz w:val="20"/>
                <w:szCs w:val="20"/>
              </w:rPr>
              <w:t>596</w:t>
            </w:r>
          </w:p>
        </w:tc>
      </w:tr>
      <w:tr w:rsidR="009F6516" w:rsidRPr="002B2C2D" w:rsidTr="005D0AFE">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8C3EBA" w:rsidP="00BE2FFD">
            <w:pPr>
              <w:jc w:val="both"/>
              <w:rPr>
                <w:rFonts w:asciiTheme="majorHAnsi" w:hAnsiTheme="majorHAnsi" w:cstheme="majorHAnsi"/>
                <w:b w:val="0"/>
                <w:sz w:val="20"/>
                <w:szCs w:val="20"/>
              </w:rPr>
            </w:pPr>
            <w:r w:rsidRPr="002B2C2D">
              <w:rPr>
                <w:rFonts w:asciiTheme="majorHAnsi" w:hAnsiTheme="majorHAnsi" w:cstheme="majorHAnsi"/>
                <w:b w:val="0"/>
                <w:sz w:val="20"/>
                <w:szCs w:val="20"/>
              </w:rPr>
              <w:t>Fortalecimiento de la Gestión y Dirección y del Sector Empleo Público</w:t>
            </w:r>
          </w:p>
        </w:tc>
        <w:tc>
          <w:tcPr>
            <w:tcW w:w="2830" w:type="dxa"/>
          </w:tcPr>
          <w:p w:rsidR="009F6516" w:rsidRPr="002B2C2D" w:rsidRDefault="008C3EBA" w:rsidP="008C3EB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2C2D">
              <w:rPr>
                <w:rFonts w:asciiTheme="majorHAnsi" w:hAnsiTheme="majorHAnsi" w:cstheme="majorHAnsi"/>
                <w:sz w:val="20"/>
                <w:szCs w:val="20"/>
              </w:rPr>
              <w:t xml:space="preserve">  4.344.252.891</w:t>
            </w:r>
          </w:p>
        </w:tc>
      </w:tr>
      <w:tr w:rsidR="009F6516" w:rsidRPr="002B2C2D" w:rsidTr="005D0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9F6516" w:rsidRPr="002B2C2D" w:rsidRDefault="008C3EBA" w:rsidP="00BE2FFD">
            <w:pPr>
              <w:jc w:val="both"/>
              <w:rPr>
                <w:rFonts w:asciiTheme="majorHAnsi" w:hAnsiTheme="majorHAnsi" w:cstheme="majorHAnsi"/>
                <w:sz w:val="20"/>
                <w:szCs w:val="20"/>
              </w:rPr>
            </w:pPr>
            <w:r w:rsidRPr="002B2C2D">
              <w:rPr>
                <w:rFonts w:asciiTheme="majorHAnsi" w:hAnsiTheme="majorHAnsi" w:cstheme="majorHAnsi"/>
                <w:sz w:val="20"/>
                <w:szCs w:val="20"/>
              </w:rPr>
              <w:t>Total Presupuesto</w:t>
            </w:r>
          </w:p>
        </w:tc>
        <w:tc>
          <w:tcPr>
            <w:tcW w:w="2830" w:type="dxa"/>
          </w:tcPr>
          <w:p w:rsidR="009F6516" w:rsidRPr="002B2C2D" w:rsidRDefault="008C3EBA" w:rsidP="008C3E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2B2C2D">
              <w:rPr>
                <w:rFonts w:asciiTheme="majorHAnsi" w:hAnsiTheme="majorHAnsi" w:cstheme="majorHAnsi"/>
                <w:b/>
                <w:sz w:val="20"/>
                <w:szCs w:val="20"/>
              </w:rPr>
              <w:t>33.281.348.487</w:t>
            </w:r>
          </w:p>
        </w:tc>
      </w:tr>
    </w:tbl>
    <w:p w:rsidR="00F649E6" w:rsidRPr="004D0E9B" w:rsidRDefault="00F649E6" w:rsidP="00971B47">
      <w:pPr>
        <w:pStyle w:val="Sinespaciado"/>
        <w:rPr>
          <w:b/>
          <w:i/>
          <w:sz w:val="16"/>
          <w:szCs w:val="16"/>
          <w:lang w:val="es-ES_tradnl"/>
        </w:rPr>
      </w:pPr>
      <w:r w:rsidRPr="004D0E9B">
        <w:rPr>
          <w:b/>
          <w:i/>
          <w:sz w:val="16"/>
          <w:szCs w:val="16"/>
          <w:lang w:val="es-ES_tradnl"/>
        </w:rPr>
        <w:t>Fuente: Resolución 001 de 2020</w:t>
      </w:r>
    </w:p>
    <w:p w:rsidR="00E16F11" w:rsidRPr="005D0AFE" w:rsidRDefault="00DC7ADC" w:rsidP="00BE234C">
      <w:pPr>
        <w:pStyle w:val="NormalWeb"/>
        <w:jc w:val="both"/>
        <w:rPr>
          <w:rFonts w:ascii="Arial" w:hAnsi="Arial" w:cs="Arial"/>
          <w:sz w:val="22"/>
          <w:szCs w:val="22"/>
          <w:lang w:val="es-ES_tradnl"/>
        </w:rPr>
      </w:pPr>
      <w:r>
        <w:rPr>
          <w:rFonts w:ascii="Arial" w:hAnsi="Arial" w:cs="Arial"/>
          <w:sz w:val="22"/>
          <w:szCs w:val="22"/>
          <w:lang w:val="es-ES_tradnl"/>
        </w:rPr>
        <w:t>Igualmente, mediante Resolución 002 del 02 de enero de 2020 “Por</w:t>
      </w:r>
      <w:r w:rsidRPr="00DC7ADC">
        <w:rPr>
          <w:rFonts w:ascii="Arial" w:hAnsi="Arial" w:cs="Arial"/>
          <w:i/>
          <w:sz w:val="22"/>
          <w:szCs w:val="22"/>
          <w:lang w:val="es-ES_tradnl"/>
        </w:rPr>
        <w:t xml:space="preserve"> la cual se hace una desagregación en el Presupuesto de Funcionamiento e Inversión del Departamento Administrativo de la Función Pública para la vigencia fiscal de 2020”</w:t>
      </w:r>
      <w:r>
        <w:rPr>
          <w:rFonts w:ascii="Arial" w:hAnsi="Arial" w:cs="Arial"/>
          <w:i/>
          <w:sz w:val="22"/>
          <w:szCs w:val="22"/>
          <w:lang w:val="es-ES_tradnl"/>
        </w:rPr>
        <w:t xml:space="preserve">, </w:t>
      </w:r>
      <w:r w:rsidRPr="00DC7ADC">
        <w:rPr>
          <w:rFonts w:ascii="Arial" w:hAnsi="Arial" w:cs="Arial"/>
          <w:sz w:val="22"/>
          <w:szCs w:val="22"/>
          <w:lang w:val="es-ES_tradnl"/>
        </w:rPr>
        <w:t xml:space="preserve">con la siguiente </w:t>
      </w:r>
      <w:r w:rsidRPr="005D0AFE">
        <w:rPr>
          <w:rFonts w:ascii="Arial" w:hAnsi="Arial" w:cs="Arial"/>
          <w:sz w:val="22"/>
          <w:szCs w:val="22"/>
          <w:lang w:val="es-ES_tradnl"/>
        </w:rPr>
        <w:t>desagregación:</w:t>
      </w:r>
    </w:p>
    <w:tbl>
      <w:tblPr>
        <w:tblStyle w:val="Sombreadomedio1-nfasis1"/>
        <w:tblW w:w="0" w:type="auto"/>
        <w:tblLook w:val="04A0" w:firstRow="1" w:lastRow="0" w:firstColumn="1" w:lastColumn="0" w:noHBand="0" w:noVBand="1"/>
      </w:tblPr>
      <w:tblGrid>
        <w:gridCol w:w="5800"/>
        <w:gridCol w:w="3252"/>
      </w:tblGrid>
      <w:tr w:rsidR="00DC7ADC" w:rsidRPr="00F339AD" w:rsidTr="00F3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DC7ADC" w:rsidRPr="00F339AD" w:rsidRDefault="00DC7ADC" w:rsidP="00DC7ADC">
            <w:pPr>
              <w:pStyle w:val="NormalWeb"/>
              <w:jc w:val="center"/>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CONCEPTO</w:t>
            </w:r>
          </w:p>
        </w:tc>
        <w:tc>
          <w:tcPr>
            <w:tcW w:w="3255" w:type="dxa"/>
          </w:tcPr>
          <w:p w:rsidR="002B2C2D" w:rsidRDefault="004D0E9B" w:rsidP="002B2C2D">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s-ES_tradnl"/>
              </w:rPr>
            </w:pPr>
            <w:r>
              <w:rPr>
                <w:rFonts w:asciiTheme="majorHAnsi" w:hAnsiTheme="majorHAnsi" w:cstheme="majorHAnsi"/>
                <w:sz w:val="20"/>
                <w:szCs w:val="20"/>
                <w:lang w:val="es-ES_tradnl"/>
              </w:rPr>
              <w:t xml:space="preserve">                                    </w:t>
            </w:r>
            <w:r w:rsidR="00DC7ADC" w:rsidRPr="00F339AD">
              <w:rPr>
                <w:rFonts w:asciiTheme="majorHAnsi" w:hAnsiTheme="majorHAnsi" w:cstheme="majorHAnsi"/>
                <w:sz w:val="20"/>
                <w:szCs w:val="20"/>
                <w:lang w:val="es-ES_tradnl"/>
              </w:rPr>
              <w:t>VALOR</w:t>
            </w:r>
          </w:p>
          <w:p w:rsidR="002B2C2D" w:rsidRPr="00F339AD" w:rsidRDefault="002B2C2D" w:rsidP="002B2C2D">
            <w:pPr>
              <w:pStyle w:val="NormalWeb"/>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_tradnl"/>
              </w:rPr>
            </w:pPr>
          </w:p>
        </w:tc>
      </w:tr>
      <w:tr w:rsidR="00DC7ADC"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DC7ADC" w:rsidRPr="00F339AD" w:rsidRDefault="00DC7ADC" w:rsidP="00BE234C">
            <w:pPr>
              <w:pStyle w:val="NormalWeb"/>
              <w:jc w:val="both"/>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FUNCIONAMIENTO</w:t>
            </w:r>
          </w:p>
        </w:tc>
        <w:tc>
          <w:tcPr>
            <w:tcW w:w="3255" w:type="dxa"/>
          </w:tcPr>
          <w:p w:rsidR="00DC7ADC" w:rsidRPr="00F339AD" w:rsidRDefault="00DC7ADC"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lang w:val="es-ES_tradnl"/>
              </w:rPr>
            </w:pPr>
            <w:r w:rsidRPr="00F339AD">
              <w:rPr>
                <w:rFonts w:asciiTheme="majorHAnsi" w:hAnsiTheme="majorHAnsi" w:cstheme="majorHAnsi"/>
                <w:b/>
                <w:sz w:val="20"/>
                <w:szCs w:val="20"/>
                <w:lang w:val="es-ES_tradnl"/>
              </w:rPr>
              <w:t>21.183.930.000</w:t>
            </w:r>
          </w:p>
        </w:tc>
      </w:tr>
      <w:tr w:rsidR="00DC7ADC"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DC7ADC" w:rsidRPr="00F339AD" w:rsidRDefault="00DC7ADC"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G</w:t>
            </w:r>
            <w:r w:rsidR="00B7006E" w:rsidRPr="00F339AD">
              <w:rPr>
                <w:rFonts w:asciiTheme="majorHAnsi" w:hAnsiTheme="majorHAnsi" w:cstheme="majorHAnsi"/>
                <w:b w:val="0"/>
                <w:sz w:val="20"/>
                <w:szCs w:val="20"/>
                <w:lang w:val="es-ES_tradnl"/>
              </w:rPr>
              <w:t>ASTOS DE PERSONAL</w:t>
            </w:r>
          </w:p>
        </w:tc>
        <w:tc>
          <w:tcPr>
            <w:tcW w:w="3255" w:type="dxa"/>
          </w:tcPr>
          <w:p w:rsidR="00DC7ADC" w:rsidRPr="00F339AD" w:rsidRDefault="00DC7ADC"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i/>
                <w:sz w:val="20"/>
                <w:szCs w:val="20"/>
                <w:lang w:val="es-ES_tradnl"/>
              </w:rPr>
            </w:pPr>
            <w:r w:rsidRPr="00F339AD">
              <w:rPr>
                <w:rFonts w:asciiTheme="majorHAnsi" w:hAnsiTheme="majorHAnsi" w:cstheme="majorHAnsi"/>
                <w:b/>
                <w:i/>
                <w:sz w:val="20"/>
                <w:szCs w:val="20"/>
                <w:lang w:val="es-ES_tradnl"/>
              </w:rPr>
              <w:t>17.966.000.000</w:t>
            </w:r>
          </w:p>
        </w:tc>
      </w:tr>
      <w:tr w:rsidR="00B7006E"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B7006E" w:rsidRPr="00F339AD" w:rsidRDefault="00B7006E"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Salarios</w:t>
            </w:r>
          </w:p>
        </w:tc>
        <w:tc>
          <w:tcPr>
            <w:tcW w:w="3255" w:type="dxa"/>
          </w:tcPr>
          <w:p w:rsidR="00B7006E" w:rsidRPr="00F339AD" w:rsidRDefault="00B7006E"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12.013.000.000</w:t>
            </w:r>
          </w:p>
        </w:tc>
      </w:tr>
      <w:tr w:rsidR="00B7006E"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B7006E" w:rsidRPr="00F339AD" w:rsidRDefault="00B7006E"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Contribuciones Inherentes a la Nómina</w:t>
            </w:r>
          </w:p>
        </w:tc>
        <w:tc>
          <w:tcPr>
            <w:tcW w:w="3255" w:type="dxa"/>
          </w:tcPr>
          <w:p w:rsidR="00B7006E" w:rsidRPr="00F339AD" w:rsidRDefault="00B7006E"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 xml:space="preserve">  4.273.000.000</w:t>
            </w:r>
          </w:p>
        </w:tc>
      </w:tr>
      <w:tr w:rsidR="00DC7ADC"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DC7ADC" w:rsidRPr="00F339AD" w:rsidRDefault="00B7006E"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Remuneraciones No Constitutiva de Factor Salarial</w:t>
            </w:r>
          </w:p>
        </w:tc>
        <w:tc>
          <w:tcPr>
            <w:tcW w:w="3255" w:type="dxa"/>
          </w:tcPr>
          <w:p w:rsidR="00DC7ADC" w:rsidRPr="00F339AD" w:rsidRDefault="00B7006E"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 xml:space="preserve">  1.680.000.000</w:t>
            </w:r>
          </w:p>
        </w:tc>
      </w:tr>
      <w:tr w:rsidR="00B7006E"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B7006E" w:rsidRPr="00F339AD" w:rsidRDefault="006F2E4E"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 xml:space="preserve">ADQUISICIÓN DE BIENES Y SERVICIOS </w:t>
            </w:r>
          </w:p>
        </w:tc>
        <w:tc>
          <w:tcPr>
            <w:tcW w:w="3255" w:type="dxa"/>
          </w:tcPr>
          <w:p w:rsidR="00B7006E" w:rsidRPr="00F339AD" w:rsidRDefault="00B7006E"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i/>
                <w:sz w:val="20"/>
                <w:szCs w:val="20"/>
                <w:lang w:val="es-ES_tradnl"/>
              </w:rPr>
            </w:pPr>
            <w:r w:rsidRPr="00F339AD">
              <w:rPr>
                <w:rFonts w:asciiTheme="majorHAnsi" w:hAnsiTheme="majorHAnsi" w:cstheme="majorHAnsi"/>
                <w:sz w:val="20"/>
                <w:szCs w:val="20"/>
                <w:lang w:val="es-ES_tradnl"/>
              </w:rPr>
              <w:t xml:space="preserve">  </w:t>
            </w:r>
            <w:r w:rsidRPr="00F339AD">
              <w:rPr>
                <w:rFonts w:asciiTheme="majorHAnsi" w:hAnsiTheme="majorHAnsi" w:cstheme="majorHAnsi"/>
                <w:b/>
                <w:i/>
                <w:sz w:val="20"/>
                <w:szCs w:val="20"/>
                <w:lang w:val="es-ES_tradnl"/>
              </w:rPr>
              <w:t>2.584.700.000</w:t>
            </w:r>
          </w:p>
        </w:tc>
      </w:tr>
      <w:tr w:rsidR="00B7006E"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B7006E" w:rsidRPr="00F339AD" w:rsidRDefault="006F2E4E" w:rsidP="00BE234C">
            <w:pPr>
              <w:pStyle w:val="NormalWeb"/>
              <w:jc w:val="both"/>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TRANSFERENCIAS CORRIENTES</w:t>
            </w:r>
          </w:p>
        </w:tc>
        <w:tc>
          <w:tcPr>
            <w:tcW w:w="3255" w:type="dxa"/>
          </w:tcPr>
          <w:p w:rsidR="00B7006E" w:rsidRPr="00F339AD" w:rsidRDefault="00B7006E"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lang w:val="es-ES_tradnl"/>
              </w:rPr>
            </w:pPr>
            <w:r w:rsidRPr="00F339AD">
              <w:rPr>
                <w:rFonts w:asciiTheme="majorHAnsi" w:hAnsiTheme="majorHAnsi" w:cstheme="majorHAnsi"/>
                <w:sz w:val="20"/>
                <w:szCs w:val="20"/>
                <w:lang w:val="es-ES_tradnl"/>
              </w:rPr>
              <w:t xml:space="preserve">     </w:t>
            </w:r>
            <w:r w:rsidRPr="00F339AD">
              <w:rPr>
                <w:rFonts w:asciiTheme="majorHAnsi" w:hAnsiTheme="majorHAnsi" w:cstheme="majorHAnsi"/>
                <w:b/>
                <w:sz w:val="20"/>
                <w:szCs w:val="20"/>
                <w:lang w:val="es-ES_tradnl"/>
              </w:rPr>
              <w:t>532.400.000</w:t>
            </w:r>
          </w:p>
        </w:tc>
      </w:tr>
      <w:tr w:rsidR="00B7006E"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B7006E" w:rsidRPr="00F339AD" w:rsidRDefault="006F2E4E" w:rsidP="00BE234C">
            <w:pPr>
              <w:pStyle w:val="NormalWeb"/>
              <w:jc w:val="both"/>
              <w:rPr>
                <w:rFonts w:asciiTheme="majorHAnsi" w:hAnsiTheme="majorHAnsi" w:cstheme="majorHAnsi"/>
                <w:b w:val="0"/>
                <w:sz w:val="20"/>
                <w:szCs w:val="20"/>
                <w:lang w:val="es-ES_tradnl"/>
              </w:rPr>
            </w:pPr>
            <w:r w:rsidRPr="00F339AD">
              <w:rPr>
                <w:rFonts w:asciiTheme="majorHAnsi" w:hAnsiTheme="majorHAnsi" w:cstheme="majorHAnsi"/>
                <w:b w:val="0"/>
                <w:sz w:val="20"/>
                <w:szCs w:val="20"/>
                <w:lang w:val="es-ES_tradnl"/>
              </w:rPr>
              <w:t>GASTOS POR TRIBUTOS, MULTAS SANCIONES E INTERESES DE MORA</w:t>
            </w:r>
          </w:p>
        </w:tc>
        <w:tc>
          <w:tcPr>
            <w:tcW w:w="3255" w:type="dxa"/>
          </w:tcPr>
          <w:p w:rsidR="00B7006E" w:rsidRPr="00F339AD" w:rsidRDefault="006F2E4E"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20"/>
                <w:szCs w:val="20"/>
                <w:lang w:val="es-ES_tradnl"/>
              </w:rPr>
            </w:pPr>
            <w:r w:rsidRPr="00F339AD">
              <w:rPr>
                <w:rFonts w:asciiTheme="majorHAnsi" w:hAnsiTheme="majorHAnsi" w:cstheme="majorHAnsi"/>
                <w:sz w:val="20"/>
                <w:szCs w:val="20"/>
                <w:lang w:val="es-ES_tradnl"/>
              </w:rPr>
              <w:t xml:space="preserve">     </w:t>
            </w:r>
            <w:r w:rsidRPr="00F339AD">
              <w:rPr>
                <w:rFonts w:asciiTheme="majorHAnsi" w:hAnsiTheme="majorHAnsi" w:cstheme="majorHAnsi"/>
                <w:b/>
                <w:sz w:val="20"/>
                <w:szCs w:val="20"/>
                <w:lang w:val="es-ES_tradnl"/>
              </w:rPr>
              <w:t>100.830.000</w:t>
            </w:r>
          </w:p>
        </w:tc>
      </w:tr>
      <w:tr w:rsidR="006F2E4E"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6F2E4E" w:rsidRPr="00F339AD" w:rsidRDefault="002723C8" w:rsidP="00BE234C">
            <w:pPr>
              <w:pStyle w:val="NormalWeb"/>
              <w:jc w:val="both"/>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 xml:space="preserve">INVERSIÓN                                                                                                      </w:t>
            </w:r>
          </w:p>
        </w:tc>
        <w:tc>
          <w:tcPr>
            <w:tcW w:w="3255" w:type="dxa"/>
          </w:tcPr>
          <w:p w:rsidR="006F2E4E" w:rsidRPr="00F339AD" w:rsidRDefault="002723C8"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lang w:val="es-ES_tradnl"/>
              </w:rPr>
            </w:pPr>
            <w:r w:rsidRPr="00F339AD">
              <w:rPr>
                <w:rFonts w:asciiTheme="majorHAnsi" w:hAnsiTheme="majorHAnsi" w:cstheme="majorHAnsi"/>
                <w:b/>
                <w:sz w:val="20"/>
                <w:szCs w:val="20"/>
                <w:lang w:val="es-ES_tradnl"/>
              </w:rPr>
              <w:t>12.097.418.487</w:t>
            </w:r>
          </w:p>
        </w:tc>
      </w:tr>
      <w:tr w:rsidR="002723C8"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2723C8" w:rsidRPr="00F339AD" w:rsidRDefault="00FE082F" w:rsidP="00BE234C">
            <w:pPr>
              <w:pStyle w:val="NormalWeb"/>
              <w:jc w:val="both"/>
              <w:rPr>
                <w:rFonts w:asciiTheme="majorHAnsi" w:hAnsiTheme="majorHAnsi" w:cstheme="majorHAnsi"/>
                <w:sz w:val="20"/>
                <w:szCs w:val="20"/>
                <w:lang w:val="es-ES_tradnl"/>
              </w:rPr>
            </w:pPr>
            <w:r w:rsidRPr="00F339AD">
              <w:rPr>
                <w:rFonts w:asciiTheme="majorHAnsi" w:hAnsiTheme="majorHAnsi" w:cstheme="majorHAnsi"/>
                <w:b w:val="0"/>
                <w:sz w:val="20"/>
                <w:szCs w:val="20"/>
              </w:rPr>
              <w:t>FORTALECIMIENTO DE LA GESTIÓN PÚBLICA EN LAS ENTIDADES NACIONALES Y TERRITORIALES</w:t>
            </w:r>
          </w:p>
        </w:tc>
        <w:tc>
          <w:tcPr>
            <w:tcW w:w="3255" w:type="dxa"/>
          </w:tcPr>
          <w:p w:rsidR="002723C8" w:rsidRPr="00F339AD" w:rsidRDefault="002723C8"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i/>
                <w:sz w:val="20"/>
                <w:szCs w:val="20"/>
                <w:lang w:val="es-ES_tradnl"/>
              </w:rPr>
            </w:pPr>
            <w:r w:rsidRPr="00F339AD">
              <w:rPr>
                <w:rFonts w:asciiTheme="majorHAnsi" w:hAnsiTheme="majorHAnsi" w:cstheme="majorHAnsi"/>
                <w:b/>
                <w:i/>
                <w:sz w:val="20"/>
                <w:szCs w:val="20"/>
                <w:lang w:val="es-ES_tradnl"/>
              </w:rPr>
              <w:t>7.753.165.596</w:t>
            </w:r>
          </w:p>
        </w:tc>
      </w:tr>
      <w:tr w:rsidR="002723C8"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2723C8" w:rsidRPr="00F339AD" w:rsidRDefault="002723C8"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Mejoramiento de los niveles de eficiencia y productividad de las entidades públicas del orden nacional y territorial</w:t>
            </w:r>
          </w:p>
        </w:tc>
        <w:tc>
          <w:tcPr>
            <w:tcW w:w="3255" w:type="dxa"/>
          </w:tcPr>
          <w:p w:rsidR="002723C8" w:rsidRPr="00F339AD" w:rsidRDefault="002723C8"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3.401.816.590</w:t>
            </w:r>
          </w:p>
        </w:tc>
      </w:tr>
      <w:tr w:rsidR="002723C8"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2723C8" w:rsidRPr="00F339AD" w:rsidRDefault="002723C8"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Diseño de políticas y lineamientos en temas de función pública para el mejoramiento continuo de la administración pública nacional</w:t>
            </w:r>
          </w:p>
        </w:tc>
        <w:tc>
          <w:tcPr>
            <w:tcW w:w="3255" w:type="dxa"/>
          </w:tcPr>
          <w:p w:rsidR="002723C8" w:rsidRPr="00F339AD" w:rsidRDefault="00FE082F"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4.351.349.006</w:t>
            </w:r>
          </w:p>
        </w:tc>
      </w:tr>
      <w:tr w:rsidR="00FE082F"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FE082F" w:rsidRPr="00F339AD" w:rsidRDefault="00FE082F"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FORTALECIMIENTO DE LA GESTIÓN Y DIRECCIÓN Y DEL SECTOR EMPLEO PÚBLICO</w:t>
            </w:r>
          </w:p>
        </w:tc>
        <w:tc>
          <w:tcPr>
            <w:tcW w:w="3255" w:type="dxa"/>
          </w:tcPr>
          <w:p w:rsidR="00FE082F" w:rsidRPr="00F339AD" w:rsidRDefault="00FE082F"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sz w:val="20"/>
                <w:szCs w:val="20"/>
                <w:lang w:val="es-ES_tradnl"/>
              </w:rPr>
            </w:pPr>
            <w:r w:rsidRPr="00F339AD">
              <w:rPr>
                <w:rFonts w:asciiTheme="majorHAnsi" w:hAnsiTheme="majorHAnsi" w:cstheme="majorHAnsi"/>
                <w:sz w:val="20"/>
                <w:szCs w:val="20"/>
                <w:lang w:val="es-ES_tradnl"/>
              </w:rPr>
              <w:t xml:space="preserve"> </w:t>
            </w:r>
            <w:r w:rsidRPr="00F339AD">
              <w:rPr>
                <w:rFonts w:asciiTheme="majorHAnsi" w:hAnsiTheme="majorHAnsi" w:cstheme="majorHAnsi"/>
                <w:b/>
                <w:i/>
                <w:sz w:val="20"/>
                <w:szCs w:val="20"/>
                <w:lang w:val="es-ES_tradnl"/>
              </w:rPr>
              <w:t>4.344.252.891</w:t>
            </w:r>
          </w:p>
        </w:tc>
      </w:tr>
      <w:tr w:rsidR="00FE082F"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FE082F" w:rsidRPr="00F339AD" w:rsidRDefault="00E844A6"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Mejoramiento de</w:t>
            </w:r>
            <w:r w:rsidR="00CE7F10" w:rsidRPr="00F339AD">
              <w:rPr>
                <w:rFonts w:asciiTheme="majorHAnsi" w:hAnsiTheme="majorHAnsi" w:cstheme="majorHAnsi"/>
                <w:b w:val="0"/>
                <w:sz w:val="20"/>
                <w:szCs w:val="20"/>
              </w:rPr>
              <w:t xml:space="preserve"> </w:t>
            </w:r>
            <w:r w:rsidRPr="00F339AD">
              <w:rPr>
                <w:rFonts w:asciiTheme="majorHAnsi" w:hAnsiTheme="majorHAnsi" w:cstheme="majorHAnsi"/>
                <w:b w:val="0"/>
                <w:sz w:val="20"/>
                <w:szCs w:val="20"/>
              </w:rPr>
              <w:t xml:space="preserve">la imagen </w:t>
            </w:r>
            <w:r w:rsidR="00CE7F10" w:rsidRPr="00F339AD">
              <w:rPr>
                <w:rFonts w:asciiTheme="majorHAnsi" w:hAnsiTheme="majorHAnsi" w:cstheme="majorHAnsi"/>
                <w:b w:val="0"/>
                <w:sz w:val="20"/>
                <w:szCs w:val="20"/>
              </w:rPr>
              <w:t>y funcionalidad del edificio sede del Departamento Administrativo de la Función Pública Bogotá</w:t>
            </w:r>
          </w:p>
        </w:tc>
        <w:tc>
          <w:tcPr>
            <w:tcW w:w="3255" w:type="dxa"/>
          </w:tcPr>
          <w:p w:rsidR="00FE082F" w:rsidRPr="00F339AD" w:rsidRDefault="00CE7F10"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1.200.000.000</w:t>
            </w:r>
          </w:p>
        </w:tc>
      </w:tr>
      <w:tr w:rsidR="00E844A6" w:rsidRPr="00F339AD" w:rsidTr="00F339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E844A6" w:rsidRPr="00F339AD" w:rsidRDefault="00CE7F10"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Mejoramiento de la gestión de las políticas públicas a través de las TICS Nacional</w:t>
            </w:r>
          </w:p>
        </w:tc>
        <w:tc>
          <w:tcPr>
            <w:tcW w:w="3255" w:type="dxa"/>
          </w:tcPr>
          <w:p w:rsidR="00E844A6" w:rsidRPr="00F339AD" w:rsidRDefault="00CE7F10" w:rsidP="006F2E4E">
            <w:pPr>
              <w:pStyle w:val="NormalWeb"/>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s-ES_tradnl"/>
              </w:rPr>
            </w:pPr>
            <w:r w:rsidRPr="00F339AD">
              <w:rPr>
                <w:rFonts w:asciiTheme="majorHAnsi" w:hAnsiTheme="majorHAnsi" w:cstheme="majorHAnsi"/>
                <w:sz w:val="20"/>
                <w:szCs w:val="20"/>
                <w:lang w:val="es-ES_tradnl"/>
              </w:rPr>
              <w:t>3.144.252.891</w:t>
            </w:r>
          </w:p>
        </w:tc>
      </w:tr>
      <w:tr w:rsidR="00F649E6" w:rsidRPr="00F339AD" w:rsidTr="00F339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rsidR="00F649E6" w:rsidRPr="00F339AD" w:rsidRDefault="00F649E6" w:rsidP="00BE234C">
            <w:pPr>
              <w:pStyle w:val="NormalWeb"/>
              <w:jc w:val="both"/>
              <w:rPr>
                <w:rFonts w:asciiTheme="majorHAnsi" w:hAnsiTheme="majorHAnsi" w:cstheme="majorHAnsi"/>
                <w:b w:val="0"/>
                <w:sz w:val="20"/>
                <w:szCs w:val="20"/>
              </w:rPr>
            </w:pPr>
            <w:r w:rsidRPr="00F339AD">
              <w:rPr>
                <w:rFonts w:asciiTheme="majorHAnsi" w:hAnsiTheme="majorHAnsi" w:cstheme="majorHAnsi"/>
                <w:b w:val="0"/>
                <w:sz w:val="20"/>
                <w:szCs w:val="20"/>
              </w:rPr>
              <w:t>TOTAL PRESUPUESTO</w:t>
            </w:r>
          </w:p>
        </w:tc>
        <w:tc>
          <w:tcPr>
            <w:tcW w:w="3255" w:type="dxa"/>
          </w:tcPr>
          <w:p w:rsidR="00F649E6" w:rsidRPr="00F339AD" w:rsidRDefault="00F649E6" w:rsidP="006F2E4E">
            <w:pPr>
              <w:pStyle w:val="NormalWeb"/>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i/>
                <w:sz w:val="20"/>
                <w:szCs w:val="20"/>
                <w:lang w:val="es-ES_tradnl"/>
              </w:rPr>
            </w:pPr>
            <w:r w:rsidRPr="00F339AD">
              <w:rPr>
                <w:rFonts w:asciiTheme="majorHAnsi" w:hAnsiTheme="majorHAnsi" w:cstheme="majorHAnsi"/>
                <w:b/>
                <w:i/>
                <w:sz w:val="20"/>
                <w:szCs w:val="20"/>
                <w:lang w:val="es-ES_tradnl"/>
              </w:rPr>
              <w:t>33.281.348.487</w:t>
            </w:r>
          </w:p>
        </w:tc>
      </w:tr>
    </w:tbl>
    <w:p w:rsidR="00DC7ADC" w:rsidRPr="004D0E9B" w:rsidRDefault="00971B47" w:rsidP="00971B47">
      <w:pPr>
        <w:pStyle w:val="Sinespaciado"/>
        <w:rPr>
          <w:b/>
          <w:i/>
          <w:sz w:val="16"/>
          <w:szCs w:val="16"/>
          <w:lang w:val="es-ES_tradnl"/>
        </w:rPr>
      </w:pPr>
      <w:r w:rsidRPr="004D0E9B">
        <w:rPr>
          <w:b/>
          <w:i/>
          <w:sz w:val="16"/>
          <w:szCs w:val="16"/>
          <w:lang w:val="es-ES_tradnl"/>
        </w:rPr>
        <w:t>Fuente: Resolución 002 de 2020</w:t>
      </w:r>
    </w:p>
    <w:p w:rsidR="00BE234C" w:rsidRDefault="001C20B5" w:rsidP="00BE234C">
      <w:pPr>
        <w:pStyle w:val="NormalWeb"/>
        <w:jc w:val="both"/>
        <w:rPr>
          <w:rFonts w:ascii="Arial" w:hAnsi="Arial" w:cs="Arial"/>
          <w:sz w:val="22"/>
          <w:szCs w:val="22"/>
          <w:lang w:val="es-ES_tradnl"/>
        </w:rPr>
      </w:pPr>
      <w:r>
        <w:rPr>
          <w:rFonts w:ascii="Arial" w:hAnsi="Arial" w:cs="Arial"/>
          <w:sz w:val="22"/>
          <w:szCs w:val="22"/>
          <w:lang w:val="es-ES_tradnl"/>
        </w:rPr>
        <w:t>L</w:t>
      </w:r>
      <w:r w:rsidR="00BE234C" w:rsidRPr="003C23A5">
        <w:rPr>
          <w:rFonts w:ascii="Arial" w:hAnsi="Arial" w:cs="Arial"/>
          <w:sz w:val="22"/>
          <w:szCs w:val="22"/>
          <w:lang w:val="es-ES_tradnl"/>
        </w:rPr>
        <w:t>a ejecución presupuestal acumulada al 31 de octubre de 20</w:t>
      </w:r>
      <w:r w:rsidR="00D04B1F">
        <w:rPr>
          <w:rFonts w:ascii="Arial" w:hAnsi="Arial" w:cs="Arial"/>
          <w:sz w:val="22"/>
          <w:szCs w:val="22"/>
          <w:lang w:val="es-ES_tradnl"/>
        </w:rPr>
        <w:t>20</w:t>
      </w:r>
      <w:r w:rsidR="00BE234C" w:rsidRPr="003C23A5">
        <w:rPr>
          <w:rFonts w:ascii="Arial" w:hAnsi="Arial" w:cs="Arial"/>
          <w:sz w:val="22"/>
          <w:szCs w:val="22"/>
          <w:lang w:val="es-ES_tradnl"/>
        </w:rPr>
        <w:t xml:space="preserve"> es del </w:t>
      </w:r>
      <w:r w:rsidR="003C23A5" w:rsidRPr="003C23A5">
        <w:rPr>
          <w:rFonts w:ascii="Arial" w:hAnsi="Arial" w:cs="Arial"/>
          <w:sz w:val="22"/>
          <w:szCs w:val="22"/>
          <w:lang w:val="es-ES_tradnl"/>
        </w:rPr>
        <w:t>75.</w:t>
      </w:r>
      <w:r w:rsidR="006673EA">
        <w:rPr>
          <w:rFonts w:ascii="Arial" w:hAnsi="Arial" w:cs="Arial"/>
          <w:sz w:val="22"/>
          <w:szCs w:val="22"/>
          <w:lang w:val="es-ES_tradnl"/>
        </w:rPr>
        <w:t>51</w:t>
      </w:r>
      <w:r w:rsidR="00BE234C" w:rsidRPr="003C23A5">
        <w:rPr>
          <w:rFonts w:ascii="Arial" w:hAnsi="Arial" w:cs="Arial"/>
          <w:sz w:val="22"/>
          <w:szCs w:val="22"/>
          <w:lang w:val="es-ES_tradnl"/>
        </w:rPr>
        <w:t>%</w:t>
      </w:r>
      <w:r w:rsidR="00E509F2">
        <w:rPr>
          <w:rFonts w:ascii="Arial" w:hAnsi="Arial" w:cs="Arial"/>
          <w:sz w:val="22"/>
          <w:szCs w:val="22"/>
          <w:lang w:val="es-ES_tradnl"/>
        </w:rPr>
        <w:t>,</w:t>
      </w:r>
      <w:r w:rsidR="00BE234C" w:rsidRPr="003C23A5">
        <w:rPr>
          <w:rFonts w:ascii="Arial" w:hAnsi="Arial" w:cs="Arial"/>
          <w:sz w:val="22"/>
          <w:szCs w:val="22"/>
          <w:lang w:val="es-ES_tradnl"/>
        </w:rPr>
        <w:t xml:space="preserve"> discriminada en el siguiente cuadro:</w:t>
      </w:r>
    </w:p>
    <w:p w:rsidR="006673EA" w:rsidRDefault="006673EA" w:rsidP="00BE234C">
      <w:pPr>
        <w:pStyle w:val="NormalWeb"/>
        <w:jc w:val="both"/>
        <w:rPr>
          <w:rFonts w:ascii="Arial" w:hAnsi="Arial" w:cs="Arial"/>
          <w:sz w:val="22"/>
          <w:szCs w:val="22"/>
          <w:lang w:val="es-ES_tradnl"/>
        </w:rPr>
      </w:pPr>
      <w:r w:rsidRPr="006673EA">
        <w:rPr>
          <w:noProof/>
        </w:rPr>
        <w:drawing>
          <wp:inline distT="0" distB="0" distL="0" distR="0">
            <wp:extent cx="5784060" cy="3745065"/>
            <wp:effectExtent l="0" t="0" r="762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6794" cy="3798634"/>
                    </a:xfrm>
                    <a:prstGeom prst="rect">
                      <a:avLst/>
                    </a:prstGeom>
                    <a:noFill/>
                    <a:ln>
                      <a:noFill/>
                    </a:ln>
                  </pic:spPr>
                </pic:pic>
              </a:graphicData>
            </a:graphic>
          </wp:inline>
        </w:drawing>
      </w:r>
    </w:p>
    <w:p w:rsidR="003C23A5" w:rsidRPr="003C23A5" w:rsidRDefault="003C23A5" w:rsidP="003C23A5">
      <w:pPr>
        <w:pStyle w:val="NormalWeb"/>
        <w:jc w:val="both"/>
        <w:rPr>
          <w:rFonts w:ascii="Arial" w:hAnsi="Arial" w:cs="Arial"/>
          <w:sz w:val="22"/>
          <w:szCs w:val="22"/>
          <w:lang w:val="es-ES_tradnl"/>
        </w:rPr>
      </w:pPr>
      <w:r w:rsidRPr="003C23A5">
        <w:rPr>
          <w:rFonts w:ascii="Arial" w:hAnsi="Arial" w:cs="Arial"/>
          <w:sz w:val="22"/>
          <w:szCs w:val="22"/>
          <w:lang w:val="es-ES_tradnl"/>
        </w:rPr>
        <w:t>La ejecución por gastos de Funcionamiento (gastos</w:t>
      </w:r>
      <w:r>
        <w:rPr>
          <w:rFonts w:ascii="Arial" w:hAnsi="Arial" w:cs="Arial"/>
          <w:sz w:val="22"/>
          <w:szCs w:val="22"/>
          <w:lang w:val="es-ES_tradnl"/>
        </w:rPr>
        <w:t xml:space="preserve"> de personal</w:t>
      </w:r>
      <w:r w:rsidRPr="003C23A5">
        <w:rPr>
          <w:rFonts w:ascii="Arial" w:hAnsi="Arial" w:cs="Arial"/>
          <w:sz w:val="22"/>
          <w:szCs w:val="22"/>
          <w:lang w:val="es-ES_tradnl"/>
        </w:rPr>
        <w:t xml:space="preserve">, gastos generales y transferencias corrientes) fue del </w:t>
      </w:r>
      <w:r>
        <w:rPr>
          <w:rFonts w:ascii="Arial" w:hAnsi="Arial" w:cs="Arial"/>
          <w:sz w:val="22"/>
          <w:szCs w:val="22"/>
          <w:lang w:val="es-ES_tradnl"/>
        </w:rPr>
        <w:t>7</w:t>
      </w:r>
      <w:r w:rsidR="006673EA">
        <w:rPr>
          <w:rFonts w:ascii="Arial" w:hAnsi="Arial" w:cs="Arial"/>
          <w:sz w:val="22"/>
          <w:szCs w:val="22"/>
          <w:lang w:val="es-ES_tradnl"/>
        </w:rPr>
        <w:t>4.96</w:t>
      </w:r>
      <w:r w:rsidRPr="003C23A5">
        <w:rPr>
          <w:rFonts w:ascii="Arial" w:hAnsi="Arial" w:cs="Arial"/>
          <w:sz w:val="22"/>
          <w:szCs w:val="22"/>
          <w:lang w:val="es-ES_tradnl"/>
        </w:rPr>
        <w:t>%, descrita a continuación:</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Gastos personales</w:t>
      </w:r>
      <w:r w:rsidRPr="003C23A5">
        <w:rPr>
          <w:rFonts w:ascii="Arial" w:hAnsi="Arial" w:cs="Arial"/>
          <w:b/>
          <w:sz w:val="22"/>
          <w:szCs w:val="22"/>
          <w:lang w:val="es-ES_tradnl"/>
        </w:rPr>
        <w:t>:</w:t>
      </w:r>
      <w:r w:rsidRPr="003C23A5">
        <w:rPr>
          <w:rFonts w:ascii="Arial" w:hAnsi="Arial" w:cs="Arial"/>
          <w:sz w:val="22"/>
          <w:szCs w:val="22"/>
          <w:lang w:val="es-ES_tradnl"/>
        </w:rPr>
        <w:t xml:space="preserve"> Comprende los rubros de sueldos de personal de nómina, prima técnica, horas extras, días festivos, indemnización por vacaciones, servicios personales indirectos y contribuciones inherentes a la nómina. La ejecución por este concepto es del </w:t>
      </w:r>
      <w:r w:rsidR="006673EA">
        <w:rPr>
          <w:rFonts w:ascii="Arial" w:hAnsi="Arial" w:cs="Arial"/>
          <w:sz w:val="22"/>
          <w:szCs w:val="22"/>
          <w:lang w:val="es-ES_tradnl"/>
        </w:rPr>
        <w:t>76.07</w:t>
      </w:r>
      <w:r w:rsidRPr="003C23A5">
        <w:rPr>
          <w:rFonts w:ascii="Arial" w:hAnsi="Arial" w:cs="Arial"/>
          <w:sz w:val="22"/>
          <w:szCs w:val="22"/>
          <w:lang w:val="es-ES_tradnl"/>
        </w:rPr>
        <w:t>%.</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Gastos Generales</w:t>
      </w:r>
      <w:r w:rsidRPr="003C23A5">
        <w:rPr>
          <w:rFonts w:ascii="Arial" w:hAnsi="Arial" w:cs="Arial"/>
          <w:b/>
          <w:sz w:val="22"/>
          <w:szCs w:val="22"/>
          <w:lang w:val="es-ES_tradnl"/>
        </w:rPr>
        <w:t>:</w:t>
      </w:r>
      <w:r w:rsidRPr="003C23A5">
        <w:rPr>
          <w:rFonts w:ascii="Arial" w:hAnsi="Arial" w:cs="Arial"/>
          <w:sz w:val="22"/>
          <w:szCs w:val="22"/>
          <w:lang w:val="es-ES_tradnl"/>
        </w:rPr>
        <w:t xml:space="preserve"> Corresponde los conceptos de impuestos y multas y adquisición de bienes y servicios. La ejecución al mes de octubre se encuentra en el </w:t>
      </w:r>
      <w:r w:rsidR="006673EA">
        <w:rPr>
          <w:rFonts w:ascii="Arial" w:hAnsi="Arial" w:cs="Arial"/>
          <w:sz w:val="22"/>
          <w:szCs w:val="22"/>
          <w:lang w:val="es-ES_tradnl"/>
        </w:rPr>
        <w:t>74.42</w:t>
      </w:r>
      <w:r w:rsidRPr="003C23A5">
        <w:rPr>
          <w:rFonts w:ascii="Arial" w:hAnsi="Arial" w:cs="Arial"/>
          <w:sz w:val="22"/>
          <w:szCs w:val="22"/>
          <w:lang w:val="es-ES_tradnl"/>
        </w:rPr>
        <w:t>%</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Transferencias corrientes</w:t>
      </w:r>
      <w:r w:rsidRPr="003C23A5">
        <w:rPr>
          <w:rFonts w:ascii="Arial" w:hAnsi="Arial" w:cs="Arial"/>
          <w:b/>
          <w:sz w:val="22"/>
          <w:szCs w:val="22"/>
          <w:lang w:val="es-ES_tradnl"/>
        </w:rPr>
        <w:t xml:space="preserve">: </w:t>
      </w:r>
      <w:r w:rsidRPr="003C23A5">
        <w:rPr>
          <w:rFonts w:ascii="Arial" w:hAnsi="Arial" w:cs="Arial"/>
          <w:sz w:val="22"/>
          <w:szCs w:val="22"/>
          <w:lang w:val="es-ES_tradnl"/>
        </w:rPr>
        <w:t xml:space="preserve">El rubro registra una ejecución del </w:t>
      </w:r>
      <w:r>
        <w:rPr>
          <w:rFonts w:ascii="Arial" w:hAnsi="Arial" w:cs="Arial"/>
          <w:sz w:val="22"/>
          <w:szCs w:val="22"/>
          <w:lang w:val="es-ES_tradnl"/>
        </w:rPr>
        <w:t>4</w:t>
      </w:r>
      <w:r w:rsidR="006673EA">
        <w:rPr>
          <w:rFonts w:ascii="Arial" w:hAnsi="Arial" w:cs="Arial"/>
          <w:sz w:val="22"/>
          <w:szCs w:val="22"/>
          <w:lang w:val="es-ES_tradnl"/>
        </w:rPr>
        <w:t>5.92</w:t>
      </w:r>
      <w:r w:rsidRPr="003C23A5">
        <w:rPr>
          <w:rFonts w:ascii="Arial" w:hAnsi="Arial" w:cs="Arial"/>
          <w:sz w:val="22"/>
          <w:szCs w:val="22"/>
          <w:lang w:val="es-ES_tradnl"/>
        </w:rPr>
        <w:t xml:space="preserve">%, el cual se encuentra dispuesto para el manejo presupuestal de la cuota de auditaje, las mesadas pensionales y las sentencias y conciliaciones. </w:t>
      </w:r>
    </w:p>
    <w:p w:rsidR="001C20B5" w:rsidRDefault="001C20B5" w:rsidP="001C20B5">
      <w:pPr>
        <w:pStyle w:val="NormalWeb"/>
        <w:jc w:val="both"/>
        <w:rPr>
          <w:rFonts w:ascii="Arial" w:hAnsi="Arial" w:cs="Arial"/>
          <w:sz w:val="22"/>
          <w:szCs w:val="22"/>
          <w:lang w:val="es-ES_tradnl"/>
        </w:rPr>
      </w:pPr>
      <w:r w:rsidRPr="001C20B5">
        <w:rPr>
          <w:rFonts w:ascii="Arial" w:hAnsi="Arial" w:cs="Arial"/>
          <w:sz w:val="22"/>
          <w:szCs w:val="22"/>
          <w:lang w:val="es-ES_tradnl"/>
        </w:rPr>
        <w:t xml:space="preserve">La ejecución </w:t>
      </w:r>
      <w:r>
        <w:rPr>
          <w:rFonts w:ascii="Arial" w:hAnsi="Arial" w:cs="Arial"/>
          <w:sz w:val="22"/>
          <w:szCs w:val="22"/>
          <w:lang w:val="es-ES_tradnl"/>
        </w:rPr>
        <w:t xml:space="preserve">presupuestal </w:t>
      </w:r>
      <w:r w:rsidRPr="001C20B5">
        <w:rPr>
          <w:rFonts w:ascii="Arial" w:hAnsi="Arial" w:cs="Arial"/>
          <w:sz w:val="22"/>
          <w:szCs w:val="22"/>
          <w:lang w:val="es-ES_tradnl"/>
        </w:rPr>
        <w:t xml:space="preserve">por inversión al mes de octubre es del </w:t>
      </w:r>
      <w:r>
        <w:rPr>
          <w:rFonts w:ascii="Arial" w:hAnsi="Arial" w:cs="Arial"/>
          <w:sz w:val="22"/>
          <w:szCs w:val="22"/>
          <w:lang w:val="es-ES_tradnl"/>
        </w:rPr>
        <w:t>7</w:t>
      </w:r>
      <w:r w:rsidR="006673EA">
        <w:rPr>
          <w:rFonts w:ascii="Arial" w:hAnsi="Arial" w:cs="Arial"/>
          <w:sz w:val="22"/>
          <w:szCs w:val="22"/>
          <w:lang w:val="es-ES_tradnl"/>
        </w:rPr>
        <w:t>6.01</w:t>
      </w:r>
      <w:r w:rsidRPr="001C20B5">
        <w:rPr>
          <w:rFonts w:ascii="Arial" w:hAnsi="Arial" w:cs="Arial"/>
          <w:sz w:val="22"/>
          <w:szCs w:val="22"/>
          <w:lang w:val="es-ES_tradnl"/>
        </w:rPr>
        <w:t xml:space="preserve">%, representado en los siguientes </w:t>
      </w:r>
      <w:r>
        <w:rPr>
          <w:rFonts w:ascii="Arial" w:hAnsi="Arial" w:cs="Arial"/>
          <w:sz w:val="22"/>
          <w:szCs w:val="22"/>
          <w:lang w:val="es-ES_tradnl"/>
        </w:rPr>
        <w:t>proyectos</w:t>
      </w:r>
      <w:r w:rsidRPr="001C20B5">
        <w:rPr>
          <w:rFonts w:ascii="Arial" w:hAnsi="Arial" w:cs="Arial"/>
          <w:sz w:val="22"/>
          <w:szCs w:val="22"/>
          <w:lang w:val="es-ES_tradnl"/>
        </w:rPr>
        <w:t xml:space="preserve">:  </w:t>
      </w:r>
    </w:p>
    <w:p w:rsidR="006B675C" w:rsidRPr="00AE4C2A" w:rsidRDefault="006B675C" w:rsidP="006B675C">
      <w:pPr>
        <w:pStyle w:val="Prrafodelista"/>
        <w:numPr>
          <w:ilvl w:val="0"/>
          <w:numId w:val="21"/>
        </w:numPr>
        <w:spacing w:before="48" w:after="150"/>
        <w:jc w:val="both"/>
        <w:outlineLvl w:val="3"/>
        <w:rPr>
          <w:rFonts w:ascii="Arial" w:eastAsiaTheme="minorEastAsia" w:hAnsi="Arial" w:cs="Arial"/>
          <w:lang w:val="es-ES_tradnl" w:eastAsia="es-CO"/>
        </w:rPr>
      </w:pPr>
      <w:r w:rsidRPr="00AE4C2A">
        <w:rPr>
          <w:rFonts w:ascii="Arial" w:eastAsiaTheme="minorEastAsia" w:hAnsi="Arial" w:cs="Arial"/>
          <w:lang w:val="es-ES_tradnl" w:eastAsia="es-CO"/>
        </w:rPr>
        <w:t>Diseño de políticas y lineamientos en temas de función pública para el mejoramiento continuo de la administración pública. Nacional</w:t>
      </w:r>
    </w:p>
    <w:p w:rsidR="006B675C" w:rsidRPr="00AE4C2A" w:rsidRDefault="006B675C" w:rsidP="00AE4C2A">
      <w:pPr>
        <w:pStyle w:val="Prrafodelista"/>
        <w:numPr>
          <w:ilvl w:val="0"/>
          <w:numId w:val="21"/>
        </w:numPr>
        <w:spacing w:before="48" w:after="150"/>
        <w:jc w:val="both"/>
        <w:outlineLvl w:val="3"/>
        <w:rPr>
          <w:rFonts w:ascii="Arial" w:eastAsiaTheme="minorEastAsia" w:hAnsi="Arial" w:cs="Arial"/>
          <w:lang w:val="es-ES_tradnl" w:eastAsia="es-CO"/>
        </w:rPr>
      </w:pPr>
      <w:r w:rsidRPr="00AE4C2A">
        <w:rPr>
          <w:rFonts w:ascii="Arial" w:eastAsiaTheme="minorEastAsia" w:hAnsi="Arial" w:cs="Arial"/>
          <w:lang w:val="es-ES_tradnl" w:eastAsia="es-CO"/>
        </w:rPr>
        <w:t>Mejoramiento de los niveles de eficiencia y productividad de las entidades públicas del orden nacional y territorial. Nacional</w:t>
      </w:r>
    </w:p>
    <w:p w:rsidR="006B675C" w:rsidRPr="00AE4C2A" w:rsidRDefault="006B675C" w:rsidP="00AE4C2A">
      <w:pPr>
        <w:pStyle w:val="Prrafodelista"/>
        <w:numPr>
          <w:ilvl w:val="0"/>
          <w:numId w:val="21"/>
        </w:numPr>
        <w:spacing w:before="48" w:after="150"/>
        <w:jc w:val="both"/>
        <w:outlineLvl w:val="3"/>
        <w:rPr>
          <w:rFonts w:ascii="Arial" w:eastAsiaTheme="minorEastAsia" w:hAnsi="Arial" w:cs="Arial"/>
          <w:lang w:val="es-ES_tradnl" w:eastAsia="es-CO"/>
        </w:rPr>
      </w:pPr>
      <w:r w:rsidRPr="00AE4C2A">
        <w:rPr>
          <w:rFonts w:ascii="Arial" w:eastAsiaTheme="minorEastAsia" w:hAnsi="Arial" w:cs="Arial"/>
          <w:lang w:val="es-ES_tradnl" w:eastAsia="es-CO"/>
        </w:rPr>
        <w:t>Mejoramiento de la gestión de las políticas públicas a través de</w:t>
      </w:r>
      <w:r w:rsidR="002F1ABC">
        <w:rPr>
          <w:rFonts w:ascii="Arial" w:eastAsiaTheme="minorEastAsia" w:hAnsi="Arial" w:cs="Arial"/>
          <w:lang w:val="es-ES_tradnl" w:eastAsia="es-CO"/>
        </w:rPr>
        <w:t xml:space="preserve"> las TIC</w:t>
      </w:r>
      <w:r w:rsidRPr="00AE4C2A">
        <w:rPr>
          <w:rFonts w:ascii="Arial" w:eastAsiaTheme="minorEastAsia" w:hAnsi="Arial" w:cs="Arial"/>
          <w:lang w:val="es-ES_tradnl" w:eastAsia="es-CO"/>
        </w:rPr>
        <w:t xml:space="preserve"> </w:t>
      </w:r>
      <w:r w:rsidR="002F1ABC">
        <w:rPr>
          <w:rFonts w:ascii="Arial" w:eastAsiaTheme="minorEastAsia" w:hAnsi="Arial" w:cs="Arial"/>
          <w:lang w:val="es-ES_tradnl" w:eastAsia="es-CO"/>
        </w:rPr>
        <w:t>N</w:t>
      </w:r>
      <w:r w:rsidRPr="00AE4C2A">
        <w:rPr>
          <w:rFonts w:ascii="Arial" w:eastAsiaTheme="minorEastAsia" w:hAnsi="Arial" w:cs="Arial"/>
          <w:lang w:val="es-ES_tradnl" w:eastAsia="es-CO"/>
        </w:rPr>
        <w:t>acional</w:t>
      </w:r>
    </w:p>
    <w:p w:rsidR="00AE4C2A" w:rsidRPr="002F1ABC" w:rsidRDefault="00AE4C2A" w:rsidP="00AE4C2A">
      <w:pPr>
        <w:pStyle w:val="Prrafodelista"/>
        <w:numPr>
          <w:ilvl w:val="0"/>
          <w:numId w:val="21"/>
        </w:numPr>
        <w:spacing w:before="48" w:after="150"/>
        <w:jc w:val="both"/>
        <w:outlineLvl w:val="3"/>
        <w:rPr>
          <w:rFonts w:ascii="Arial" w:eastAsiaTheme="minorEastAsia" w:hAnsi="Arial" w:cs="Arial"/>
          <w:color w:val="0070C0"/>
          <w:lang w:val="es-ES_tradnl" w:eastAsia="es-CO"/>
        </w:rPr>
      </w:pPr>
      <w:r w:rsidRPr="00AE4C2A">
        <w:rPr>
          <w:rFonts w:ascii="Arial" w:eastAsiaTheme="minorEastAsia" w:hAnsi="Arial" w:cs="Arial"/>
          <w:lang w:val="es-ES_tradnl" w:eastAsia="es-CO"/>
        </w:rPr>
        <w:t>Mejoramiento de la imagen y funcionalidad del edificio sede del departamento administrativo de la función pública Bogotá</w:t>
      </w:r>
      <w:r w:rsidR="002F1ABC">
        <w:rPr>
          <w:rFonts w:ascii="Arial" w:eastAsiaTheme="minorEastAsia" w:hAnsi="Arial" w:cs="Arial"/>
          <w:lang w:val="es-ES_tradnl" w:eastAsia="es-CO"/>
        </w:rPr>
        <w:t xml:space="preserve"> </w:t>
      </w:r>
    </w:p>
    <w:p w:rsidR="002F1ABC" w:rsidRPr="003C23A5" w:rsidRDefault="00CD0FC9" w:rsidP="00FF1F8D">
      <w:pPr>
        <w:jc w:val="both"/>
        <w:rPr>
          <w:rFonts w:ascii="Arial" w:hAnsi="Arial" w:cs="Arial"/>
          <w:lang w:val="es-ES_tradnl"/>
        </w:rPr>
      </w:pPr>
      <w:r w:rsidRPr="004B52CD">
        <w:rPr>
          <w:rFonts w:ascii="Arial" w:hAnsi="Arial" w:cs="Arial"/>
          <w:lang w:val="es-ES_tradnl"/>
        </w:rPr>
        <w:t xml:space="preserve">Según la información reportada en el </w:t>
      </w:r>
      <w:r w:rsidRPr="004B52CD">
        <w:rPr>
          <w:rFonts w:ascii="Arial" w:eastAsia="Times New Roman" w:hAnsi="Arial" w:cs="Arial"/>
          <w:lang w:val="es-ES_tradnl"/>
        </w:rPr>
        <w:t>Sistema de Seguimiento a Proyectos de Inversión – SPI, a continuación</w:t>
      </w:r>
      <w:r w:rsidR="004B52CD">
        <w:rPr>
          <w:rFonts w:ascii="Arial" w:eastAsia="Times New Roman" w:hAnsi="Arial" w:cs="Arial"/>
          <w:lang w:val="es-ES_tradnl"/>
        </w:rPr>
        <w:t>,</w:t>
      </w:r>
      <w:r>
        <w:rPr>
          <w:rFonts w:ascii="Arial" w:eastAsia="Times New Roman" w:hAnsi="Arial" w:cs="Arial"/>
          <w:lang w:val="es-ES_tradnl"/>
        </w:rPr>
        <w:t xml:space="preserve"> se presentan los avances de cada proyecto de inversión al mes de septiembre de 20</w:t>
      </w:r>
      <w:r w:rsidR="004B52CD">
        <w:rPr>
          <w:rFonts w:ascii="Arial" w:eastAsia="Times New Roman" w:hAnsi="Arial" w:cs="Arial"/>
          <w:lang w:val="es-ES_tradnl"/>
        </w:rPr>
        <w:t>20</w:t>
      </w:r>
      <w:r>
        <w:rPr>
          <w:rFonts w:ascii="Arial" w:eastAsia="Times New Roman" w:hAnsi="Arial" w:cs="Arial"/>
          <w:lang w:val="es-ES_tradnl"/>
        </w:rPr>
        <w:t xml:space="preserve"> (aún no hay registros con corte al mes de octubre):</w:t>
      </w:r>
    </w:p>
    <w:p w:rsidR="002D5E48" w:rsidRDefault="002D5E48" w:rsidP="00FF1F8D">
      <w:pPr>
        <w:jc w:val="both"/>
        <w:rPr>
          <w:rFonts w:ascii="Arial" w:hAnsi="Arial" w:cs="Arial"/>
          <w:lang w:val="es-ES_tradnl"/>
        </w:rPr>
      </w:pPr>
    </w:p>
    <w:tbl>
      <w:tblPr>
        <w:tblStyle w:val="Tablaconcuadrcula4-nfasis1"/>
        <w:tblW w:w="0" w:type="auto"/>
        <w:tblLayout w:type="fixed"/>
        <w:tblLook w:val="04A0" w:firstRow="1" w:lastRow="0" w:firstColumn="1" w:lastColumn="0" w:noHBand="0" w:noVBand="1"/>
      </w:tblPr>
      <w:tblGrid>
        <w:gridCol w:w="4077"/>
        <w:gridCol w:w="1701"/>
        <w:gridCol w:w="1134"/>
        <w:gridCol w:w="1273"/>
        <w:gridCol w:w="1027"/>
      </w:tblGrid>
      <w:tr w:rsidR="00466E18" w:rsidRPr="003B3D68" w:rsidTr="00FB7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3B3D68" w:rsidRDefault="00466E18" w:rsidP="00466E18">
            <w:pPr>
              <w:jc w:val="center"/>
              <w:rPr>
                <w:rFonts w:asciiTheme="majorHAnsi" w:hAnsiTheme="majorHAnsi" w:cstheme="majorHAnsi"/>
                <w:sz w:val="20"/>
                <w:szCs w:val="20"/>
                <w:lang w:val="es-ES_tradnl"/>
              </w:rPr>
            </w:pPr>
            <w:r w:rsidRPr="003B3D68">
              <w:rPr>
                <w:rFonts w:asciiTheme="majorHAnsi" w:hAnsiTheme="majorHAnsi" w:cstheme="majorHAnsi"/>
                <w:sz w:val="20"/>
                <w:szCs w:val="20"/>
                <w:lang w:val="es-ES_tradnl"/>
              </w:rPr>
              <w:t>NOMBRE</w:t>
            </w:r>
            <w:r w:rsidR="00E8263B" w:rsidRPr="003B3D68">
              <w:rPr>
                <w:rFonts w:asciiTheme="majorHAnsi" w:hAnsiTheme="majorHAnsi" w:cstheme="majorHAnsi"/>
                <w:sz w:val="20"/>
                <w:szCs w:val="20"/>
                <w:lang w:val="es-ES_tradnl"/>
              </w:rPr>
              <w:t xml:space="preserve"> DEL</w:t>
            </w:r>
            <w:r w:rsidRPr="003B3D68">
              <w:rPr>
                <w:rFonts w:asciiTheme="majorHAnsi" w:hAnsiTheme="majorHAnsi" w:cstheme="majorHAnsi"/>
                <w:sz w:val="20"/>
                <w:szCs w:val="20"/>
                <w:lang w:val="es-ES_tradnl"/>
              </w:rPr>
              <w:t xml:space="preserve"> PROYECTO</w:t>
            </w:r>
          </w:p>
        </w:tc>
        <w:tc>
          <w:tcPr>
            <w:tcW w:w="1701" w:type="dxa"/>
          </w:tcPr>
          <w:p w:rsidR="00466E18" w:rsidRPr="003B3D68" w:rsidRDefault="00695C11" w:rsidP="00466E1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_tradnl"/>
              </w:rPr>
            </w:pPr>
            <w:r w:rsidRPr="003B3D68">
              <w:rPr>
                <w:rFonts w:asciiTheme="majorHAnsi" w:hAnsiTheme="majorHAnsi" w:cstheme="majorHAnsi"/>
                <w:sz w:val="20"/>
                <w:szCs w:val="20"/>
                <w:lang w:val="es-ES_tradnl"/>
              </w:rPr>
              <w:t>PRESUPUESTO</w:t>
            </w:r>
            <w:r w:rsidR="00FB7AE7" w:rsidRPr="003B3D68">
              <w:rPr>
                <w:rFonts w:asciiTheme="majorHAnsi" w:hAnsiTheme="majorHAnsi" w:cstheme="majorHAnsi"/>
                <w:sz w:val="20"/>
                <w:szCs w:val="20"/>
                <w:lang w:val="es-ES_tradnl"/>
              </w:rPr>
              <w:t xml:space="preserve"> 2020</w:t>
            </w:r>
          </w:p>
        </w:tc>
        <w:tc>
          <w:tcPr>
            <w:tcW w:w="1134" w:type="dxa"/>
          </w:tcPr>
          <w:p w:rsidR="00466E18" w:rsidRPr="003B3D68" w:rsidRDefault="00BE1C4F" w:rsidP="00E826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_tradnl"/>
              </w:rPr>
            </w:pPr>
            <w:r w:rsidRPr="003B3D68">
              <w:rPr>
                <w:rFonts w:asciiTheme="majorHAnsi" w:hAnsiTheme="majorHAnsi" w:cstheme="majorHAnsi"/>
                <w:sz w:val="20"/>
                <w:szCs w:val="20"/>
                <w:lang w:val="es-ES_tradnl"/>
              </w:rPr>
              <w:t>AVANCE F</w:t>
            </w:r>
            <w:r w:rsidR="00E8263B" w:rsidRPr="003B3D68">
              <w:rPr>
                <w:rFonts w:asciiTheme="majorHAnsi" w:hAnsiTheme="majorHAnsi" w:cstheme="majorHAnsi"/>
                <w:sz w:val="20"/>
                <w:szCs w:val="20"/>
                <w:lang w:val="es-ES_tradnl"/>
              </w:rPr>
              <w:t>Í</w:t>
            </w:r>
            <w:r w:rsidRPr="003B3D68">
              <w:rPr>
                <w:rFonts w:asciiTheme="majorHAnsi" w:hAnsiTheme="majorHAnsi" w:cstheme="majorHAnsi"/>
                <w:sz w:val="20"/>
                <w:szCs w:val="20"/>
                <w:lang w:val="es-ES_tradnl"/>
              </w:rPr>
              <w:t>SICO</w:t>
            </w:r>
          </w:p>
        </w:tc>
        <w:tc>
          <w:tcPr>
            <w:tcW w:w="1273" w:type="dxa"/>
          </w:tcPr>
          <w:p w:rsidR="00466E18" w:rsidRPr="003B3D68" w:rsidRDefault="00BE1C4F" w:rsidP="00BE1C4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_tradnl"/>
              </w:rPr>
            </w:pPr>
            <w:r w:rsidRPr="003B3D68">
              <w:rPr>
                <w:rFonts w:asciiTheme="majorHAnsi" w:hAnsiTheme="majorHAnsi" w:cstheme="majorHAnsi"/>
                <w:sz w:val="20"/>
                <w:szCs w:val="20"/>
                <w:lang w:val="es-ES_tradnl"/>
              </w:rPr>
              <w:t>AVANCE FINANCIERO</w:t>
            </w:r>
          </w:p>
        </w:tc>
        <w:tc>
          <w:tcPr>
            <w:tcW w:w="1027" w:type="dxa"/>
          </w:tcPr>
          <w:p w:rsidR="00466E18" w:rsidRPr="003B3D68" w:rsidRDefault="00E8263B" w:rsidP="00BE1C4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_tradnl"/>
              </w:rPr>
            </w:pPr>
            <w:r w:rsidRPr="003B3D68">
              <w:rPr>
                <w:rFonts w:asciiTheme="majorHAnsi" w:hAnsiTheme="majorHAnsi" w:cstheme="majorHAnsi"/>
                <w:sz w:val="20"/>
                <w:szCs w:val="20"/>
                <w:lang w:val="es-ES_tradnl"/>
              </w:rPr>
              <w:t>AVANCE GESTIÓ</w:t>
            </w:r>
            <w:r w:rsidR="00BE1C4F" w:rsidRPr="003B3D68">
              <w:rPr>
                <w:rFonts w:asciiTheme="majorHAnsi" w:hAnsiTheme="majorHAnsi" w:cstheme="majorHAnsi"/>
                <w:sz w:val="20"/>
                <w:szCs w:val="20"/>
                <w:lang w:val="es-ES_tradnl"/>
              </w:rPr>
              <w:t>N</w:t>
            </w:r>
          </w:p>
        </w:tc>
      </w:tr>
      <w:tr w:rsidR="00466E18" w:rsidRPr="003B3D68" w:rsidTr="00FB7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3B3D68" w:rsidRDefault="004B52CD" w:rsidP="00695C11">
            <w:pPr>
              <w:spacing w:before="48" w:after="150"/>
              <w:jc w:val="both"/>
              <w:outlineLvl w:val="3"/>
              <w:rPr>
                <w:rFonts w:asciiTheme="majorHAnsi" w:hAnsiTheme="majorHAnsi" w:cstheme="majorHAnsi"/>
                <w:b w:val="0"/>
                <w:sz w:val="20"/>
                <w:szCs w:val="20"/>
                <w:lang w:val="es-ES_tradnl"/>
              </w:rPr>
            </w:pPr>
            <w:r w:rsidRPr="003B3D68">
              <w:rPr>
                <w:rFonts w:asciiTheme="majorHAnsi" w:eastAsia="Times New Roman" w:hAnsiTheme="majorHAnsi" w:cstheme="majorHAnsi"/>
                <w:color w:val="4189AB"/>
                <w:sz w:val="20"/>
                <w:szCs w:val="20"/>
                <w:lang w:eastAsia="es-CO"/>
              </w:rPr>
              <w:t>Diseño de políticas y lineamientos en temas de función pública para el mejoramiento continuo de la administración pública. Nacional</w:t>
            </w:r>
          </w:p>
        </w:tc>
        <w:tc>
          <w:tcPr>
            <w:tcW w:w="1701" w:type="dxa"/>
          </w:tcPr>
          <w:p w:rsidR="00BE1C4F" w:rsidRPr="003B3D68" w:rsidRDefault="00BE1C4F"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rPr>
            </w:pPr>
          </w:p>
          <w:p w:rsidR="00466E18" w:rsidRPr="003B3D68" w:rsidRDefault="00BE1C4F"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rPr>
            </w:pPr>
            <w:r w:rsidRPr="003B3D68">
              <w:rPr>
                <w:rFonts w:asciiTheme="majorHAnsi" w:hAnsiTheme="majorHAnsi" w:cstheme="majorHAnsi"/>
                <w:b/>
                <w:i/>
                <w:color w:val="1F4E79" w:themeColor="accent1" w:themeShade="80"/>
                <w:sz w:val="20"/>
                <w:szCs w:val="20"/>
              </w:rPr>
              <w:t>$</w:t>
            </w:r>
            <w:r w:rsidR="00E8263B" w:rsidRPr="003B3D68">
              <w:rPr>
                <w:rFonts w:asciiTheme="majorHAnsi" w:hAnsiTheme="majorHAnsi" w:cstheme="majorHAnsi"/>
                <w:b/>
                <w:i/>
                <w:color w:val="1F4E79" w:themeColor="accent1" w:themeShade="80"/>
                <w:sz w:val="20"/>
                <w:szCs w:val="20"/>
              </w:rPr>
              <w:t xml:space="preserve"> </w:t>
            </w:r>
            <w:r w:rsidR="004B52CD" w:rsidRPr="003B3D68">
              <w:rPr>
                <w:rFonts w:asciiTheme="majorHAnsi" w:hAnsiTheme="majorHAnsi" w:cstheme="majorHAnsi"/>
                <w:b/>
                <w:i/>
                <w:color w:val="1F4E79" w:themeColor="accent1" w:themeShade="80"/>
                <w:sz w:val="20"/>
                <w:szCs w:val="20"/>
              </w:rPr>
              <w:t>9.839.507.529</w:t>
            </w:r>
          </w:p>
        </w:tc>
        <w:tc>
          <w:tcPr>
            <w:tcW w:w="1134" w:type="dxa"/>
          </w:tcPr>
          <w:p w:rsidR="00BE1C4F" w:rsidRPr="003B3D68" w:rsidRDefault="00BE1C4F"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4B52CD"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39</w:t>
            </w:r>
            <w:r w:rsidR="00BE1C4F" w:rsidRPr="003B3D68">
              <w:rPr>
                <w:rFonts w:asciiTheme="majorHAnsi" w:hAnsiTheme="majorHAnsi" w:cstheme="majorHAnsi"/>
                <w:b/>
                <w:i/>
                <w:color w:val="1F4E79" w:themeColor="accent1" w:themeShade="80"/>
                <w:sz w:val="20"/>
                <w:szCs w:val="20"/>
                <w:lang w:val="es-ES_tradnl"/>
              </w:rPr>
              <w:t>%</w:t>
            </w:r>
          </w:p>
        </w:tc>
        <w:tc>
          <w:tcPr>
            <w:tcW w:w="1273" w:type="dxa"/>
          </w:tcPr>
          <w:p w:rsidR="00BE1C4F" w:rsidRPr="003B3D68" w:rsidRDefault="00BE1C4F"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4B52CD"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38.32</w:t>
            </w:r>
            <w:r w:rsidR="00BE1C4F" w:rsidRPr="003B3D68">
              <w:rPr>
                <w:rFonts w:asciiTheme="majorHAnsi" w:hAnsiTheme="majorHAnsi" w:cstheme="majorHAnsi"/>
                <w:b/>
                <w:i/>
                <w:color w:val="1F4E79" w:themeColor="accent1" w:themeShade="80"/>
                <w:sz w:val="20"/>
                <w:szCs w:val="20"/>
                <w:lang w:val="es-ES_tradnl"/>
              </w:rPr>
              <w:t>%</w:t>
            </w:r>
          </w:p>
        </w:tc>
        <w:tc>
          <w:tcPr>
            <w:tcW w:w="1027" w:type="dxa"/>
          </w:tcPr>
          <w:p w:rsidR="00BE1C4F" w:rsidRPr="003B3D68" w:rsidRDefault="00BE1C4F"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4B52CD" w:rsidP="00BE1C4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62</w:t>
            </w:r>
            <w:r w:rsidR="00BE1C4F" w:rsidRPr="003B3D68">
              <w:rPr>
                <w:rFonts w:asciiTheme="majorHAnsi" w:hAnsiTheme="majorHAnsi" w:cstheme="majorHAnsi"/>
                <w:b/>
                <w:i/>
                <w:color w:val="1F4E79" w:themeColor="accent1" w:themeShade="80"/>
                <w:sz w:val="20"/>
                <w:szCs w:val="20"/>
                <w:lang w:val="es-ES_tradnl"/>
              </w:rPr>
              <w:t>%</w:t>
            </w:r>
          </w:p>
        </w:tc>
      </w:tr>
      <w:tr w:rsidR="00466E18" w:rsidRPr="003B3D68" w:rsidTr="00FB7AE7">
        <w:tc>
          <w:tcPr>
            <w:cnfStyle w:val="001000000000" w:firstRow="0" w:lastRow="0" w:firstColumn="1" w:lastColumn="0" w:oddVBand="0" w:evenVBand="0" w:oddHBand="0" w:evenHBand="0" w:firstRowFirstColumn="0" w:firstRowLastColumn="0" w:lastRowFirstColumn="0" w:lastRowLastColumn="0"/>
            <w:tcW w:w="4077" w:type="dxa"/>
          </w:tcPr>
          <w:p w:rsidR="00466E18" w:rsidRPr="003B3D68" w:rsidRDefault="00695C11" w:rsidP="00695C11">
            <w:pPr>
              <w:spacing w:before="48" w:after="150"/>
              <w:jc w:val="both"/>
              <w:outlineLvl w:val="3"/>
              <w:rPr>
                <w:rFonts w:asciiTheme="majorHAnsi" w:hAnsiTheme="majorHAnsi" w:cstheme="majorHAnsi"/>
                <w:b w:val="0"/>
                <w:sz w:val="20"/>
                <w:szCs w:val="20"/>
                <w:lang w:val="es-ES_tradnl"/>
              </w:rPr>
            </w:pPr>
            <w:r w:rsidRPr="003B3D68">
              <w:rPr>
                <w:rFonts w:asciiTheme="majorHAnsi" w:eastAsia="Times New Roman" w:hAnsiTheme="majorHAnsi" w:cstheme="majorHAnsi"/>
                <w:color w:val="4189AB"/>
                <w:sz w:val="20"/>
                <w:szCs w:val="20"/>
                <w:lang w:eastAsia="es-CO"/>
              </w:rPr>
              <w:t>Mejoramiento de los niveles de eficiencia y productividad de las entidades públicas del orden nacional y territorial. Nacional</w:t>
            </w:r>
          </w:p>
        </w:tc>
        <w:tc>
          <w:tcPr>
            <w:tcW w:w="1701" w:type="dxa"/>
          </w:tcPr>
          <w:p w:rsidR="00BE1C4F" w:rsidRPr="003B3D68" w:rsidRDefault="00BE1C4F"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rPr>
            </w:pPr>
          </w:p>
          <w:p w:rsidR="00466E18" w:rsidRPr="003B3D68" w:rsidRDefault="00BE1C4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rPr>
              <w:t>$</w:t>
            </w:r>
            <w:r w:rsidR="00695C11" w:rsidRPr="003B3D68">
              <w:rPr>
                <w:rFonts w:asciiTheme="majorHAnsi" w:hAnsiTheme="majorHAnsi" w:cstheme="majorHAnsi"/>
                <w:b/>
                <w:i/>
                <w:color w:val="1F4E79" w:themeColor="accent1" w:themeShade="80"/>
                <w:sz w:val="20"/>
                <w:szCs w:val="20"/>
              </w:rPr>
              <w:t> 8.250.435.587</w:t>
            </w:r>
          </w:p>
        </w:tc>
        <w:tc>
          <w:tcPr>
            <w:tcW w:w="1134" w:type="dxa"/>
          </w:tcPr>
          <w:p w:rsidR="00BE1C4F" w:rsidRPr="003B3D68" w:rsidRDefault="00BE1C4F"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34</w:t>
            </w:r>
            <w:r w:rsidR="00BE1C4F" w:rsidRPr="003B3D68">
              <w:rPr>
                <w:rFonts w:asciiTheme="majorHAnsi" w:hAnsiTheme="majorHAnsi" w:cstheme="majorHAnsi"/>
                <w:b/>
                <w:i/>
                <w:color w:val="1F4E79" w:themeColor="accent1" w:themeShade="80"/>
                <w:sz w:val="20"/>
                <w:szCs w:val="20"/>
                <w:lang w:val="es-ES_tradnl"/>
              </w:rPr>
              <w:t>%</w:t>
            </w:r>
          </w:p>
        </w:tc>
        <w:tc>
          <w:tcPr>
            <w:tcW w:w="1273" w:type="dxa"/>
          </w:tcPr>
          <w:p w:rsidR="00BE1C4F" w:rsidRPr="003B3D68" w:rsidRDefault="00BE1C4F"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52.92</w:t>
            </w:r>
            <w:r w:rsidR="00BE1C4F" w:rsidRPr="003B3D68">
              <w:rPr>
                <w:rFonts w:asciiTheme="majorHAnsi" w:hAnsiTheme="majorHAnsi" w:cstheme="majorHAnsi"/>
                <w:b/>
                <w:i/>
                <w:color w:val="1F4E79" w:themeColor="accent1" w:themeShade="80"/>
                <w:sz w:val="20"/>
                <w:szCs w:val="20"/>
                <w:lang w:val="es-ES_tradnl"/>
              </w:rPr>
              <w:t>%</w:t>
            </w:r>
          </w:p>
        </w:tc>
        <w:tc>
          <w:tcPr>
            <w:tcW w:w="1027" w:type="dxa"/>
          </w:tcPr>
          <w:p w:rsidR="00BE1C4F" w:rsidRPr="003B3D68" w:rsidRDefault="00BE1C4F"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BE1C4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74.90</w:t>
            </w:r>
            <w:r w:rsidR="00BE1C4F" w:rsidRPr="003B3D68">
              <w:rPr>
                <w:rFonts w:asciiTheme="majorHAnsi" w:hAnsiTheme="majorHAnsi" w:cstheme="majorHAnsi"/>
                <w:b/>
                <w:i/>
                <w:color w:val="1F4E79" w:themeColor="accent1" w:themeShade="80"/>
                <w:sz w:val="20"/>
                <w:szCs w:val="20"/>
                <w:lang w:val="es-ES_tradnl"/>
              </w:rPr>
              <w:t>%</w:t>
            </w:r>
          </w:p>
        </w:tc>
      </w:tr>
      <w:tr w:rsidR="00466E18" w:rsidRPr="003B3D68" w:rsidTr="00FB7A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3B3D68" w:rsidRDefault="00695C11" w:rsidP="00695C11">
            <w:pPr>
              <w:spacing w:before="48" w:after="150"/>
              <w:jc w:val="both"/>
              <w:outlineLvl w:val="3"/>
              <w:rPr>
                <w:rFonts w:asciiTheme="majorHAnsi" w:hAnsiTheme="majorHAnsi" w:cstheme="majorHAnsi"/>
                <w:b w:val="0"/>
                <w:sz w:val="20"/>
                <w:szCs w:val="20"/>
              </w:rPr>
            </w:pPr>
            <w:r w:rsidRPr="003B3D68">
              <w:rPr>
                <w:rFonts w:asciiTheme="majorHAnsi" w:eastAsia="Times New Roman" w:hAnsiTheme="majorHAnsi" w:cstheme="majorHAnsi"/>
                <w:color w:val="4189AB"/>
                <w:sz w:val="20"/>
                <w:szCs w:val="20"/>
                <w:lang w:eastAsia="es-CO"/>
              </w:rPr>
              <w:t>Mejoramiento de la gestión de las políticas públicas a través de las TIC Nacional</w:t>
            </w:r>
          </w:p>
        </w:tc>
        <w:tc>
          <w:tcPr>
            <w:tcW w:w="1701" w:type="dxa"/>
          </w:tcPr>
          <w:p w:rsidR="00233F0F" w:rsidRPr="003B3D6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rPr>
            </w:pPr>
          </w:p>
          <w:p w:rsidR="00466E18" w:rsidRPr="003B3D6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rPr>
            </w:pPr>
            <w:r w:rsidRPr="003B3D68">
              <w:rPr>
                <w:rFonts w:asciiTheme="majorHAnsi" w:hAnsiTheme="majorHAnsi" w:cstheme="majorHAnsi"/>
                <w:b/>
                <w:i/>
                <w:color w:val="1F4E79" w:themeColor="accent1" w:themeShade="80"/>
                <w:sz w:val="20"/>
                <w:szCs w:val="20"/>
              </w:rPr>
              <w:t>$</w:t>
            </w:r>
            <w:r w:rsidR="00E8263B" w:rsidRPr="003B3D68">
              <w:rPr>
                <w:rFonts w:asciiTheme="majorHAnsi" w:hAnsiTheme="majorHAnsi" w:cstheme="majorHAnsi"/>
                <w:b/>
                <w:i/>
                <w:color w:val="1F4E79" w:themeColor="accent1" w:themeShade="80"/>
                <w:sz w:val="20"/>
                <w:szCs w:val="20"/>
              </w:rPr>
              <w:t xml:space="preserve"> </w:t>
            </w:r>
            <w:r w:rsidR="00695C11" w:rsidRPr="003B3D68">
              <w:rPr>
                <w:rFonts w:asciiTheme="majorHAnsi" w:hAnsiTheme="majorHAnsi" w:cstheme="majorHAnsi"/>
                <w:b/>
                <w:i/>
                <w:color w:val="1F4E79" w:themeColor="accent1" w:themeShade="80"/>
                <w:sz w:val="20"/>
                <w:szCs w:val="20"/>
              </w:rPr>
              <w:t>3.707.475.371</w:t>
            </w:r>
          </w:p>
        </w:tc>
        <w:tc>
          <w:tcPr>
            <w:tcW w:w="1134" w:type="dxa"/>
          </w:tcPr>
          <w:p w:rsidR="00233F0F" w:rsidRPr="003B3D6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51</w:t>
            </w:r>
            <w:r w:rsidR="00233F0F" w:rsidRPr="003B3D68">
              <w:rPr>
                <w:rFonts w:asciiTheme="majorHAnsi" w:hAnsiTheme="majorHAnsi" w:cstheme="majorHAnsi"/>
                <w:b/>
                <w:i/>
                <w:color w:val="1F4E79" w:themeColor="accent1" w:themeShade="80"/>
                <w:sz w:val="20"/>
                <w:szCs w:val="20"/>
                <w:lang w:val="es-ES_tradnl"/>
              </w:rPr>
              <w:t>%</w:t>
            </w:r>
          </w:p>
        </w:tc>
        <w:tc>
          <w:tcPr>
            <w:tcW w:w="1273" w:type="dxa"/>
          </w:tcPr>
          <w:p w:rsidR="00233F0F" w:rsidRPr="003B3D6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41.33</w:t>
            </w:r>
            <w:r w:rsidR="00233F0F" w:rsidRPr="003B3D68">
              <w:rPr>
                <w:rFonts w:asciiTheme="majorHAnsi" w:hAnsiTheme="majorHAnsi" w:cstheme="majorHAnsi"/>
                <w:b/>
                <w:i/>
                <w:color w:val="1F4E79" w:themeColor="accent1" w:themeShade="80"/>
                <w:sz w:val="20"/>
                <w:szCs w:val="20"/>
                <w:lang w:val="es-ES_tradnl"/>
              </w:rPr>
              <w:t>%</w:t>
            </w:r>
          </w:p>
        </w:tc>
        <w:tc>
          <w:tcPr>
            <w:tcW w:w="1027" w:type="dxa"/>
          </w:tcPr>
          <w:p w:rsidR="00233F0F" w:rsidRPr="003B3D6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75</w:t>
            </w:r>
            <w:r w:rsidR="00233F0F" w:rsidRPr="003B3D68">
              <w:rPr>
                <w:rFonts w:asciiTheme="majorHAnsi" w:hAnsiTheme="majorHAnsi" w:cstheme="majorHAnsi"/>
                <w:b/>
                <w:i/>
                <w:color w:val="1F4E79" w:themeColor="accent1" w:themeShade="80"/>
                <w:sz w:val="20"/>
                <w:szCs w:val="20"/>
                <w:lang w:val="es-ES_tradnl"/>
              </w:rPr>
              <w:t>%</w:t>
            </w:r>
          </w:p>
        </w:tc>
      </w:tr>
      <w:tr w:rsidR="00466E18" w:rsidRPr="003B3D68" w:rsidTr="00FB7AE7">
        <w:tc>
          <w:tcPr>
            <w:cnfStyle w:val="001000000000" w:firstRow="0" w:lastRow="0" w:firstColumn="1" w:lastColumn="0" w:oddVBand="0" w:evenVBand="0" w:oddHBand="0" w:evenHBand="0" w:firstRowFirstColumn="0" w:firstRowLastColumn="0" w:lastRowFirstColumn="0" w:lastRowLastColumn="0"/>
            <w:tcW w:w="4077" w:type="dxa"/>
          </w:tcPr>
          <w:p w:rsidR="00466E18" w:rsidRPr="003B3D68" w:rsidRDefault="00695C11" w:rsidP="00695C11">
            <w:pPr>
              <w:spacing w:before="48" w:after="150"/>
              <w:jc w:val="both"/>
              <w:outlineLvl w:val="3"/>
              <w:rPr>
                <w:rFonts w:asciiTheme="majorHAnsi" w:hAnsiTheme="majorHAnsi" w:cstheme="majorHAnsi"/>
                <w:b w:val="0"/>
                <w:sz w:val="20"/>
                <w:szCs w:val="20"/>
              </w:rPr>
            </w:pPr>
            <w:r w:rsidRPr="003B3D68">
              <w:rPr>
                <w:rFonts w:asciiTheme="majorHAnsi" w:eastAsia="Times New Roman" w:hAnsiTheme="majorHAnsi" w:cstheme="majorHAnsi"/>
                <w:color w:val="4189AB"/>
                <w:sz w:val="20"/>
                <w:szCs w:val="20"/>
                <w:lang w:eastAsia="es-CO"/>
              </w:rPr>
              <w:t>Mejoramiento de la imagen y funcionalidad del edificio sede del Departamento Administrativo de la Función Pública Bogotá</w:t>
            </w:r>
          </w:p>
        </w:tc>
        <w:tc>
          <w:tcPr>
            <w:tcW w:w="1701" w:type="dxa"/>
          </w:tcPr>
          <w:p w:rsidR="00233F0F" w:rsidRPr="003B3D6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rPr>
            </w:pPr>
          </w:p>
          <w:p w:rsidR="00466E18" w:rsidRPr="003B3D6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rPr>
            </w:pPr>
            <w:r w:rsidRPr="003B3D68">
              <w:rPr>
                <w:rFonts w:asciiTheme="majorHAnsi" w:hAnsiTheme="majorHAnsi" w:cstheme="majorHAnsi"/>
                <w:b/>
                <w:i/>
                <w:color w:val="1F4E79" w:themeColor="accent1" w:themeShade="80"/>
                <w:sz w:val="20"/>
                <w:szCs w:val="20"/>
              </w:rPr>
              <w:t>$</w:t>
            </w:r>
            <w:r w:rsidR="00695C11" w:rsidRPr="003B3D68">
              <w:rPr>
                <w:rFonts w:asciiTheme="majorHAnsi" w:hAnsiTheme="majorHAnsi" w:cstheme="majorHAnsi"/>
                <w:b/>
                <w:i/>
                <w:color w:val="1F4E79" w:themeColor="accent1" w:themeShade="80"/>
                <w:sz w:val="20"/>
                <w:szCs w:val="20"/>
              </w:rPr>
              <w:t>1.200.000.000</w:t>
            </w:r>
          </w:p>
        </w:tc>
        <w:tc>
          <w:tcPr>
            <w:tcW w:w="1134" w:type="dxa"/>
          </w:tcPr>
          <w:p w:rsidR="00233F0F" w:rsidRPr="003B3D6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10</w:t>
            </w:r>
            <w:r w:rsidR="00233F0F" w:rsidRPr="003B3D68">
              <w:rPr>
                <w:rFonts w:asciiTheme="majorHAnsi" w:hAnsiTheme="majorHAnsi" w:cstheme="majorHAnsi"/>
                <w:b/>
                <w:i/>
                <w:color w:val="1F4E79" w:themeColor="accent1" w:themeShade="80"/>
                <w:sz w:val="20"/>
                <w:szCs w:val="20"/>
                <w:lang w:val="es-ES_tradnl"/>
              </w:rPr>
              <w:t>%</w:t>
            </w:r>
          </w:p>
        </w:tc>
        <w:tc>
          <w:tcPr>
            <w:tcW w:w="1273" w:type="dxa"/>
          </w:tcPr>
          <w:p w:rsidR="00233F0F" w:rsidRPr="003B3D6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30.66</w:t>
            </w:r>
            <w:r w:rsidR="00233F0F" w:rsidRPr="003B3D68">
              <w:rPr>
                <w:rFonts w:asciiTheme="majorHAnsi" w:hAnsiTheme="majorHAnsi" w:cstheme="majorHAnsi"/>
                <w:b/>
                <w:i/>
                <w:color w:val="1F4E79" w:themeColor="accent1" w:themeShade="80"/>
                <w:sz w:val="20"/>
                <w:szCs w:val="20"/>
                <w:lang w:val="es-ES_tradnl"/>
              </w:rPr>
              <w:t>%</w:t>
            </w:r>
          </w:p>
        </w:tc>
        <w:tc>
          <w:tcPr>
            <w:tcW w:w="1027" w:type="dxa"/>
          </w:tcPr>
          <w:p w:rsidR="00233F0F" w:rsidRPr="003B3D6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p>
          <w:p w:rsidR="00466E18" w:rsidRPr="003B3D68" w:rsidRDefault="00695C11" w:rsidP="00233F0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1F4E79" w:themeColor="accent1" w:themeShade="80"/>
                <w:sz w:val="20"/>
                <w:szCs w:val="20"/>
                <w:lang w:val="es-ES_tradnl"/>
              </w:rPr>
            </w:pPr>
            <w:r w:rsidRPr="003B3D68">
              <w:rPr>
                <w:rFonts w:asciiTheme="majorHAnsi" w:hAnsiTheme="majorHAnsi" w:cstheme="majorHAnsi"/>
                <w:b/>
                <w:i/>
                <w:color w:val="1F4E79" w:themeColor="accent1" w:themeShade="80"/>
                <w:sz w:val="20"/>
                <w:szCs w:val="20"/>
                <w:lang w:val="es-ES_tradnl"/>
              </w:rPr>
              <w:t>17</w:t>
            </w:r>
            <w:r w:rsidR="00233F0F" w:rsidRPr="003B3D68">
              <w:rPr>
                <w:rFonts w:asciiTheme="majorHAnsi" w:hAnsiTheme="majorHAnsi" w:cstheme="majorHAnsi"/>
                <w:b/>
                <w:i/>
                <w:color w:val="1F4E79" w:themeColor="accent1" w:themeShade="80"/>
                <w:sz w:val="20"/>
                <w:szCs w:val="20"/>
                <w:lang w:val="es-ES_tradnl"/>
              </w:rPr>
              <w:t>%</w:t>
            </w:r>
          </w:p>
        </w:tc>
      </w:tr>
    </w:tbl>
    <w:p w:rsidR="000C7671" w:rsidRDefault="000C7671" w:rsidP="000C7671">
      <w:pPr>
        <w:rPr>
          <w:rFonts w:ascii="Arial" w:hAnsi="Arial" w:cs="Arial"/>
          <w:sz w:val="16"/>
          <w:szCs w:val="16"/>
          <w:lang w:val="es-ES_tradnl"/>
        </w:rPr>
      </w:pPr>
      <w:r>
        <w:rPr>
          <w:rFonts w:ascii="Arial" w:hAnsi="Arial" w:cs="Arial"/>
          <w:noProof/>
          <w:sz w:val="16"/>
          <w:szCs w:val="16"/>
          <w:lang w:eastAsia="es-CO"/>
        </w:rPr>
        <mc:AlternateContent>
          <mc:Choice Requires="wps">
            <w:drawing>
              <wp:anchor distT="0" distB="0" distL="114300" distR="114300" simplePos="0" relativeHeight="251664384" behindDoc="0" locked="0" layoutInCell="1" allowOverlap="1" wp14:anchorId="40D1EF34" wp14:editId="50D281C5">
                <wp:simplePos x="0" y="0"/>
                <wp:positionH relativeFrom="margin">
                  <wp:align>left</wp:align>
                </wp:positionH>
                <wp:positionV relativeFrom="paragraph">
                  <wp:posOffset>83185</wp:posOffset>
                </wp:positionV>
                <wp:extent cx="5837529" cy="534838"/>
                <wp:effectExtent l="0" t="0" r="11430" b="17780"/>
                <wp:wrapNone/>
                <wp:docPr id="14" name="14 Rectángulo"/>
                <wp:cNvGraphicFramePr/>
                <a:graphic xmlns:a="http://schemas.openxmlformats.org/drawingml/2006/main">
                  <a:graphicData uri="http://schemas.microsoft.com/office/word/2010/wordprocessingShape">
                    <wps:wsp>
                      <wps:cNvSpPr/>
                      <wps:spPr>
                        <a:xfrm>
                          <a:off x="0" y="0"/>
                          <a:ext cx="5837529" cy="534838"/>
                        </a:xfrm>
                        <a:prstGeom prst="rect">
                          <a:avLst/>
                        </a:prstGeom>
                      </wps:spPr>
                      <wps:style>
                        <a:lnRef idx="2">
                          <a:schemeClr val="accent1"/>
                        </a:lnRef>
                        <a:fillRef idx="1">
                          <a:schemeClr val="lt1"/>
                        </a:fillRef>
                        <a:effectRef idx="0">
                          <a:schemeClr val="accent1"/>
                        </a:effectRef>
                        <a:fontRef idx="minor">
                          <a:schemeClr val="dk1"/>
                        </a:fontRef>
                      </wps:style>
                      <wps:txbx>
                        <w:txbxContent>
                          <w:p w:rsidR="00356AB0" w:rsidRPr="000C7671" w:rsidRDefault="00356AB0" w:rsidP="000C7671">
                            <w:pPr>
                              <w:pStyle w:val="Sinespaciado"/>
                              <w:rPr>
                                <w:rStyle w:val="Textoennegrita"/>
                                <w:b w:val="0"/>
                                <w:bCs w:val="0"/>
                                <w:sz w:val="14"/>
                                <w:szCs w:val="14"/>
                              </w:rPr>
                            </w:pPr>
                            <w:r w:rsidRPr="000C7671">
                              <w:rPr>
                                <w:rStyle w:val="Textoennegrita"/>
                                <w:bCs w:val="0"/>
                                <w:sz w:val="14"/>
                                <w:szCs w:val="14"/>
                                <w:u w:val="single"/>
                              </w:rPr>
                              <w:t>Significados de cada avance</w:t>
                            </w:r>
                            <w:r w:rsidRPr="000C7671">
                              <w:rPr>
                                <w:rStyle w:val="Textoennegrita"/>
                                <w:b w:val="0"/>
                                <w:bCs w:val="0"/>
                                <w:sz w:val="14"/>
                                <w:szCs w:val="14"/>
                              </w:rPr>
                              <w:t>:</w:t>
                            </w:r>
                          </w:p>
                          <w:p w:rsidR="00356AB0" w:rsidRPr="000C7671" w:rsidRDefault="00356AB0" w:rsidP="000C7671">
                            <w:pPr>
                              <w:pStyle w:val="Sinespaciado"/>
                              <w:rPr>
                                <w:rStyle w:val="Textoennegrita"/>
                                <w:b w:val="0"/>
                                <w:bCs w:val="0"/>
                                <w:sz w:val="14"/>
                                <w:szCs w:val="14"/>
                              </w:rPr>
                            </w:pPr>
                            <w:r w:rsidRPr="000C7671">
                              <w:rPr>
                                <w:rStyle w:val="Textoennegrita"/>
                                <w:bCs w:val="0"/>
                                <w:i/>
                                <w:sz w:val="14"/>
                                <w:szCs w:val="14"/>
                              </w:rPr>
                              <w:t>Avance financiero</w:t>
                            </w:r>
                            <w:r w:rsidRPr="000C7671">
                              <w:rPr>
                                <w:rStyle w:val="Textoennegrita"/>
                                <w:bCs w:val="0"/>
                                <w:sz w:val="14"/>
                                <w:szCs w:val="14"/>
                              </w:rPr>
                              <w:t>:</w:t>
                            </w:r>
                            <w:r w:rsidRPr="000C7671">
                              <w:rPr>
                                <w:rStyle w:val="Textoennegrita"/>
                                <w:b w:val="0"/>
                                <w:bCs w:val="0"/>
                                <w:sz w:val="14"/>
                                <w:szCs w:val="14"/>
                              </w:rPr>
                              <w:t xml:space="preserve"> Obligación/apropiación vigente</w:t>
                            </w:r>
                          </w:p>
                          <w:p w:rsidR="00356AB0" w:rsidRPr="000C7671" w:rsidRDefault="00356AB0" w:rsidP="000C7671">
                            <w:pPr>
                              <w:pStyle w:val="Sinespaciado"/>
                              <w:rPr>
                                <w:rStyle w:val="Textoennegrita"/>
                                <w:b w:val="0"/>
                                <w:bCs w:val="0"/>
                                <w:sz w:val="14"/>
                                <w:szCs w:val="14"/>
                              </w:rPr>
                            </w:pPr>
                            <w:r w:rsidRPr="000C7671">
                              <w:rPr>
                                <w:rStyle w:val="Textoennegrita"/>
                                <w:bCs w:val="0"/>
                                <w:i/>
                                <w:sz w:val="14"/>
                                <w:szCs w:val="14"/>
                              </w:rPr>
                              <w:t>Avance Físico</w:t>
                            </w:r>
                            <w:r w:rsidRPr="000C7671">
                              <w:rPr>
                                <w:rStyle w:val="Textoennegrita"/>
                                <w:bCs w:val="0"/>
                                <w:sz w:val="14"/>
                                <w:szCs w:val="14"/>
                              </w:rPr>
                              <w:t>:</w:t>
                            </w:r>
                            <w:r w:rsidRPr="000C7671">
                              <w:rPr>
                                <w:rStyle w:val="Textoennegrita"/>
                                <w:b w:val="0"/>
                                <w:bCs w:val="0"/>
                                <w:sz w:val="14"/>
                                <w:szCs w:val="14"/>
                              </w:rPr>
                              <w:t xml:space="preserve"> Sumatoria del avance físico (avance vigencia / meta vigente para los indicadores de producto) multiplicada por su ponderación y por 100</w:t>
                            </w:r>
                          </w:p>
                          <w:p w:rsidR="00356AB0" w:rsidRDefault="00356AB0" w:rsidP="000C7671">
                            <w:pPr>
                              <w:jc w:val="center"/>
                            </w:pPr>
                            <w:r w:rsidRPr="000C7671">
                              <w:rPr>
                                <w:rStyle w:val="Textoennegrita"/>
                                <w:bCs w:val="0"/>
                                <w:i/>
                                <w:sz w:val="14"/>
                                <w:szCs w:val="14"/>
                              </w:rPr>
                              <w:t>Avance de Gestión</w:t>
                            </w:r>
                            <w:r w:rsidRPr="000C7671">
                              <w:rPr>
                                <w:rStyle w:val="Textoennegrita"/>
                                <w:b w:val="0"/>
                                <w:bCs w:val="0"/>
                                <w:sz w:val="14"/>
                                <w:szCs w:val="14"/>
                              </w:rPr>
                              <w:t>: Sumatoria del avance gestión (avance vigencia / meta vigente para los indicadores de gestión) multiplicada por su ponderación y por</w:t>
                            </w:r>
                            <w:r>
                              <w:rPr>
                                <w:rStyle w:val="Textoennegrita"/>
                                <w:b w:val="0"/>
                                <w:bCs w:val="0"/>
                                <w:sz w:val="14"/>
                                <w:szCs w:val="14"/>
                              </w:rPr>
                              <w:t xml:space="preserve">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EF34" id="14 Rectángulo" o:spid="_x0000_s1029" style="position:absolute;margin-left:0;margin-top:6.55pt;width:459.65pt;height:42.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" fillcolor="white [3201]" strokecolor="#5b9bd5 [3204]" strokeweight="1pt">
                <v:textbox>
                  <w:txbxContent>
                    <w:p w:rsidR="00356AB0" w:rsidRPr="000C7671" w:rsidRDefault="00356AB0" w:rsidP="000C7671">
                      <w:pPr>
                        <w:pStyle w:val="Sinespaciado"/>
                        <w:rPr>
                          <w:rStyle w:val="Textoennegrita"/>
                          <w:b w:val="0"/>
                          <w:bCs w:val="0"/>
                          <w:sz w:val="14"/>
                          <w:szCs w:val="14"/>
                        </w:rPr>
                      </w:pPr>
                      <w:r w:rsidRPr="000C7671">
                        <w:rPr>
                          <w:rStyle w:val="Textoennegrita"/>
                          <w:bCs w:val="0"/>
                          <w:sz w:val="14"/>
                          <w:szCs w:val="14"/>
                          <w:u w:val="single"/>
                        </w:rPr>
                        <w:t>Significados de cada avance</w:t>
                      </w:r>
                      <w:r w:rsidRPr="000C7671">
                        <w:rPr>
                          <w:rStyle w:val="Textoennegrita"/>
                          <w:b w:val="0"/>
                          <w:bCs w:val="0"/>
                          <w:sz w:val="14"/>
                          <w:szCs w:val="14"/>
                        </w:rPr>
                        <w:t>:</w:t>
                      </w:r>
                    </w:p>
                    <w:p w:rsidR="00356AB0" w:rsidRPr="000C7671" w:rsidRDefault="00356AB0" w:rsidP="000C7671">
                      <w:pPr>
                        <w:pStyle w:val="Sinespaciado"/>
                        <w:rPr>
                          <w:rStyle w:val="Textoennegrita"/>
                          <w:b w:val="0"/>
                          <w:bCs w:val="0"/>
                          <w:sz w:val="14"/>
                          <w:szCs w:val="14"/>
                        </w:rPr>
                      </w:pPr>
                      <w:r w:rsidRPr="000C7671">
                        <w:rPr>
                          <w:rStyle w:val="Textoennegrita"/>
                          <w:bCs w:val="0"/>
                          <w:i/>
                          <w:sz w:val="14"/>
                          <w:szCs w:val="14"/>
                        </w:rPr>
                        <w:t>Avance financiero</w:t>
                      </w:r>
                      <w:r w:rsidRPr="000C7671">
                        <w:rPr>
                          <w:rStyle w:val="Textoennegrita"/>
                          <w:bCs w:val="0"/>
                          <w:sz w:val="14"/>
                          <w:szCs w:val="14"/>
                        </w:rPr>
                        <w:t>:</w:t>
                      </w:r>
                      <w:r w:rsidRPr="000C7671">
                        <w:rPr>
                          <w:rStyle w:val="Textoennegrita"/>
                          <w:b w:val="0"/>
                          <w:bCs w:val="0"/>
                          <w:sz w:val="14"/>
                          <w:szCs w:val="14"/>
                        </w:rPr>
                        <w:t xml:space="preserve"> Obligación/apropiación vigente</w:t>
                      </w:r>
                    </w:p>
                    <w:p w:rsidR="00356AB0" w:rsidRPr="000C7671" w:rsidRDefault="00356AB0" w:rsidP="000C7671">
                      <w:pPr>
                        <w:pStyle w:val="Sinespaciado"/>
                        <w:rPr>
                          <w:rStyle w:val="Textoennegrita"/>
                          <w:b w:val="0"/>
                          <w:bCs w:val="0"/>
                          <w:sz w:val="14"/>
                          <w:szCs w:val="14"/>
                        </w:rPr>
                      </w:pPr>
                      <w:r w:rsidRPr="000C7671">
                        <w:rPr>
                          <w:rStyle w:val="Textoennegrita"/>
                          <w:bCs w:val="0"/>
                          <w:i/>
                          <w:sz w:val="14"/>
                          <w:szCs w:val="14"/>
                        </w:rPr>
                        <w:t>Avance Físico</w:t>
                      </w:r>
                      <w:r w:rsidRPr="000C7671">
                        <w:rPr>
                          <w:rStyle w:val="Textoennegrita"/>
                          <w:bCs w:val="0"/>
                          <w:sz w:val="14"/>
                          <w:szCs w:val="14"/>
                        </w:rPr>
                        <w:t>:</w:t>
                      </w:r>
                      <w:r w:rsidRPr="000C7671">
                        <w:rPr>
                          <w:rStyle w:val="Textoennegrita"/>
                          <w:b w:val="0"/>
                          <w:bCs w:val="0"/>
                          <w:sz w:val="14"/>
                          <w:szCs w:val="14"/>
                        </w:rPr>
                        <w:t xml:space="preserve"> Sumatoria del avance físico (avance vigencia / meta vigente para los indicadores de producto) multiplicada por su ponderación y por 100</w:t>
                      </w:r>
                    </w:p>
                    <w:p w:rsidR="00356AB0" w:rsidRDefault="00356AB0" w:rsidP="000C7671">
                      <w:pPr>
                        <w:jc w:val="center"/>
                      </w:pPr>
                      <w:r w:rsidRPr="000C7671">
                        <w:rPr>
                          <w:rStyle w:val="Textoennegrita"/>
                          <w:bCs w:val="0"/>
                          <w:i/>
                          <w:sz w:val="14"/>
                          <w:szCs w:val="14"/>
                        </w:rPr>
                        <w:t>Avance de Gestión</w:t>
                      </w:r>
                      <w:r w:rsidRPr="000C7671">
                        <w:rPr>
                          <w:rStyle w:val="Textoennegrita"/>
                          <w:b w:val="0"/>
                          <w:bCs w:val="0"/>
                          <w:sz w:val="14"/>
                          <w:szCs w:val="14"/>
                        </w:rPr>
                        <w:t>: Sumatoria del avance gestión (avance vigencia / meta vigente para los indicadores de gestión) multiplicada por su ponderación y por</w:t>
                      </w:r>
                      <w:r>
                        <w:rPr>
                          <w:rStyle w:val="Textoennegrita"/>
                          <w:b w:val="0"/>
                          <w:bCs w:val="0"/>
                          <w:sz w:val="14"/>
                          <w:szCs w:val="14"/>
                        </w:rPr>
                        <w:t xml:space="preserve"> 100</w:t>
                      </w:r>
                    </w:p>
                  </w:txbxContent>
                </v:textbox>
                <w10:wrap anchorx="margin"/>
              </v:rect>
            </w:pict>
          </mc:Fallback>
        </mc:AlternateContent>
      </w:r>
    </w:p>
    <w:p w:rsidR="000C7671" w:rsidRPr="00233F0F" w:rsidRDefault="000C7671" w:rsidP="000C7671">
      <w:pPr>
        <w:jc w:val="both"/>
        <w:rPr>
          <w:rFonts w:ascii="Arial" w:hAnsi="Arial" w:cs="Arial"/>
          <w:i/>
          <w:sz w:val="16"/>
          <w:szCs w:val="16"/>
          <w:lang w:val="es-ES_tradnl"/>
        </w:rPr>
      </w:pPr>
      <w:r w:rsidRPr="00233F0F">
        <w:rPr>
          <w:rFonts w:ascii="Arial" w:hAnsi="Arial" w:cs="Arial"/>
          <w:i/>
          <w:sz w:val="16"/>
          <w:szCs w:val="16"/>
          <w:lang w:val="es-ES_tradnl"/>
        </w:rPr>
        <w:t>Fuente: Información SPI – septiembre 2019</w:t>
      </w:r>
    </w:p>
    <w:p w:rsidR="000C7671" w:rsidRDefault="000C7671" w:rsidP="000C7671">
      <w:pPr>
        <w:rPr>
          <w:rFonts w:ascii="Arial" w:hAnsi="Arial" w:cs="Arial"/>
          <w:sz w:val="16"/>
          <w:szCs w:val="16"/>
          <w:lang w:val="es-ES_tradnl"/>
        </w:rPr>
      </w:pPr>
    </w:p>
    <w:p w:rsidR="000C7671" w:rsidRPr="000C7671" w:rsidRDefault="000C7671" w:rsidP="000C7671">
      <w:pPr>
        <w:rPr>
          <w:rFonts w:ascii="Arial" w:hAnsi="Arial" w:cs="Arial"/>
          <w:sz w:val="16"/>
          <w:szCs w:val="16"/>
          <w:lang w:val="es-ES_tradnl"/>
        </w:rPr>
      </w:pPr>
    </w:p>
    <w:p w:rsidR="000C7671" w:rsidRDefault="000C7671" w:rsidP="000C7671">
      <w:pPr>
        <w:rPr>
          <w:rFonts w:ascii="Arial" w:hAnsi="Arial" w:cs="Arial"/>
          <w:sz w:val="16"/>
          <w:szCs w:val="16"/>
          <w:lang w:val="es-ES_tradnl"/>
        </w:rPr>
      </w:pPr>
    </w:p>
    <w:p w:rsidR="00442A67" w:rsidRDefault="00442A67" w:rsidP="000C7671">
      <w:pPr>
        <w:rPr>
          <w:rFonts w:ascii="Arial" w:hAnsi="Arial" w:cs="Arial"/>
          <w:sz w:val="16"/>
          <w:szCs w:val="16"/>
          <w:lang w:val="es-ES_tradnl"/>
        </w:rPr>
      </w:pPr>
    </w:p>
    <w:p w:rsidR="000C7671" w:rsidRPr="004D0E9B" w:rsidRDefault="000C7671" w:rsidP="000C7671">
      <w:pPr>
        <w:jc w:val="both"/>
        <w:rPr>
          <w:rFonts w:ascii="Arial" w:hAnsi="Arial" w:cs="Arial"/>
          <w:b/>
          <w:i/>
          <w:sz w:val="14"/>
          <w:szCs w:val="14"/>
          <w:lang w:val="es-ES_tradnl"/>
        </w:rPr>
      </w:pPr>
      <w:r w:rsidRPr="004D0E9B">
        <w:rPr>
          <w:rFonts w:ascii="Arial" w:hAnsi="Arial" w:cs="Arial"/>
          <w:b/>
          <w:i/>
          <w:sz w:val="14"/>
          <w:szCs w:val="14"/>
          <w:lang w:val="es-ES_tradnl"/>
        </w:rPr>
        <w:t xml:space="preserve">Fuente: Información SPI – septiembre </w:t>
      </w:r>
      <w:r w:rsidR="004B52CD" w:rsidRPr="004D0E9B">
        <w:rPr>
          <w:rFonts w:ascii="Arial" w:hAnsi="Arial" w:cs="Arial"/>
          <w:b/>
          <w:i/>
          <w:sz w:val="14"/>
          <w:szCs w:val="14"/>
          <w:lang w:val="es-ES_tradnl"/>
        </w:rPr>
        <w:t>2020</w:t>
      </w:r>
    </w:p>
    <w:p w:rsidR="00E65733" w:rsidRDefault="00E65733" w:rsidP="000C7671">
      <w:pPr>
        <w:jc w:val="both"/>
        <w:rPr>
          <w:rFonts w:ascii="Arial" w:hAnsi="Arial" w:cs="Arial"/>
          <w:i/>
          <w:sz w:val="14"/>
          <w:szCs w:val="14"/>
          <w:lang w:val="es-ES_tradnl"/>
        </w:rPr>
      </w:pPr>
    </w:p>
    <w:p w:rsidR="00E65733" w:rsidRPr="00E278AA" w:rsidRDefault="00E65733" w:rsidP="00E65733">
      <w:pPr>
        <w:autoSpaceDE w:val="0"/>
        <w:autoSpaceDN w:val="0"/>
        <w:adjustRightInd w:val="0"/>
        <w:spacing w:before="240"/>
        <w:jc w:val="both"/>
        <w:rPr>
          <w:rFonts w:ascii="Arial" w:hAnsi="Arial" w:cs="Arial"/>
          <w:lang w:eastAsia="es-CO"/>
        </w:rPr>
      </w:pPr>
      <w:r w:rsidRPr="00A12C67">
        <w:rPr>
          <w:rFonts w:ascii="Arial" w:hAnsi="Arial" w:cs="Arial"/>
          <w:lang w:eastAsia="es-CO"/>
        </w:rPr>
        <w:t xml:space="preserve">De otra parte, la constitución de rezago presupuestal (reservas y cuentas por pagar) vigencia </w:t>
      </w:r>
      <w:r w:rsidRPr="00E278AA">
        <w:rPr>
          <w:rFonts w:ascii="Arial" w:hAnsi="Arial" w:cs="Arial"/>
          <w:lang w:eastAsia="es-CO"/>
        </w:rPr>
        <w:t>fiscal 20</w:t>
      </w:r>
      <w:r w:rsidR="00FC7270">
        <w:rPr>
          <w:rFonts w:ascii="Arial" w:hAnsi="Arial" w:cs="Arial"/>
          <w:lang w:eastAsia="es-CO"/>
        </w:rPr>
        <w:t>20</w:t>
      </w:r>
      <w:r w:rsidRPr="00E278AA">
        <w:rPr>
          <w:rFonts w:ascii="Arial" w:hAnsi="Arial" w:cs="Arial"/>
          <w:lang w:eastAsia="es-CO"/>
        </w:rPr>
        <w:t xml:space="preserve"> es la siguiente:  </w:t>
      </w:r>
    </w:p>
    <w:p w:rsidR="00E65733" w:rsidRDefault="003B3D68" w:rsidP="00F67175">
      <w:pPr>
        <w:pStyle w:val="Ttulo1"/>
        <w:jc w:val="center"/>
        <w:rPr>
          <w:sz w:val="24"/>
          <w:szCs w:val="24"/>
          <w:lang w:eastAsia="es-CO"/>
        </w:rPr>
      </w:pPr>
      <w:r>
        <w:rPr>
          <w:sz w:val="24"/>
          <w:szCs w:val="24"/>
          <w:lang w:eastAsia="es-CO"/>
        </w:rPr>
        <w:t>R</w:t>
      </w:r>
      <w:r w:rsidR="00E65733" w:rsidRPr="00E278AA">
        <w:rPr>
          <w:sz w:val="24"/>
          <w:szCs w:val="24"/>
          <w:lang w:eastAsia="es-CO"/>
        </w:rPr>
        <w:t>EZAG</w:t>
      </w:r>
      <w:r w:rsidR="00E65733" w:rsidRPr="00F67175">
        <w:rPr>
          <w:sz w:val="24"/>
          <w:szCs w:val="24"/>
          <w:lang w:eastAsia="es-CO"/>
        </w:rPr>
        <w:t xml:space="preserve">O PRESUPUESTAL VIGENCIA FISCAL </w:t>
      </w:r>
      <w:r w:rsidR="00E65733" w:rsidRPr="00E278AA">
        <w:rPr>
          <w:sz w:val="24"/>
          <w:szCs w:val="24"/>
          <w:lang w:eastAsia="es-CO"/>
        </w:rPr>
        <w:t>2</w:t>
      </w:r>
      <w:r w:rsidR="007A61AE" w:rsidRPr="00E278AA">
        <w:rPr>
          <w:sz w:val="24"/>
          <w:szCs w:val="24"/>
          <w:lang w:eastAsia="es-CO"/>
        </w:rPr>
        <w:t>0</w:t>
      </w:r>
      <w:r w:rsidR="00FC7270">
        <w:rPr>
          <w:sz w:val="24"/>
          <w:szCs w:val="24"/>
          <w:lang w:eastAsia="es-CO"/>
        </w:rPr>
        <w:t>20</w:t>
      </w:r>
    </w:p>
    <w:p w:rsidR="00164870" w:rsidRDefault="00164870" w:rsidP="00164870">
      <w:pPr>
        <w:rPr>
          <w:lang w:eastAsia="es-CO"/>
        </w:rPr>
      </w:pPr>
    </w:p>
    <w:tbl>
      <w:tblPr>
        <w:tblStyle w:val="Tabladelista4-nfasis11"/>
        <w:tblW w:w="8926" w:type="dxa"/>
        <w:tblLook w:val="04A0" w:firstRow="1" w:lastRow="0" w:firstColumn="1" w:lastColumn="0" w:noHBand="0" w:noVBand="1"/>
      </w:tblPr>
      <w:tblGrid>
        <w:gridCol w:w="3539"/>
        <w:gridCol w:w="2963"/>
        <w:gridCol w:w="2424"/>
      </w:tblGrid>
      <w:tr w:rsidR="00164870" w:rsidRPr="003B3D68" w:rsidTr="003B3D68">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jc w:val="center"/>
              <w:rPr>
                <w:rFonts w:asciiTheme="majorHAnsi" w:eastAsia="Calibri" w:hAnsiTheme="majorHAnsi" w:cstheme="majorHAnsi"/>
                <w:b w:val="0"/>
                <w:sz w:val="20"/>
                <w:szCs w:val="20"/>
                <w:lang w:eastAsia="es-CO"/>
              </w:rPr>
            </w:pPr>
            <w:r w:rsidRPr="003B3D68">
              <w:rPr>
                <w:rFonts w:asciiTheme="majorHAnsi" w:hAnsiTheme="majorHAnsi" w:cstheme="majorHAnsi"/>
                <w:sz w:val="20"/>
                <w:szCs w:val="20"/>
                <w:lang w:eastAsia="es-CO"/>
              </w:rPr>
              <w:t>RUBRO</w:t>
            </w:r>
          </w:p>
        </w:tc>
        <w:tc>
          <w:tcPr>
            <w:tcW w:w="2963" w:type="dxa"/>
            <w:hideMark/>
          </w:tcPr>
          <w:p w:rsidR="00164870" w:rsidRPr="003B3D68" w:rsidRDefault="00164870" w:rsidP="009F6516">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sz w:val="20"/>
                <w:szCs w:val="20"/>
                <w:lang w:eastAsia="es-CO"/>
              </w:rPr>
            </w:pPr>
            <w:r w:rsidRPr="003B3D68">
              <w:rPr>
                <w:rFonts w:asciiTheme="majorHAnsi" w:hAnsiTheme="majorHAnsi" w:cstheme="majorHAnsi"/>
                <w:sz w:val="20"/>
                <w:szCs w:val="20"/>
                <w:lang w:eastAsia="es-CO"/>
              </w:rPr>
              <w:t>VALOR</w:t>
            </w:r>
          </w:p>
        </w:tc>
        <w:tc>
          <w:tcPr>
            <w:tcW w:w="2424" w:type="dxa"/>
          </w:tcPr>
          <w:p w:rsidR="00164870" w:rsidRPr="003B3D68" w:rsidRDefault="00164870" w:rsidP="009F6516">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lang w:eastAsia="es-CO"/>
              </w:rPr>
            </w:pPr>
            <w:r w:rsidRPr="003B3D68">
              <w:rPr>
                <w:rFonts w:asciiTheme="majorHAnsi" w:hAnsiTheme="majorHAnsi" w:cstheme="majorHAnsi"/>
                <w:sz w:val="20"/>
                <w:szCs w:val="20"/>
                <w:lang w:eastAsia="es-CO"/>
              </w:rPr>
              <w:t>CANCELADO</w:t>
            </w: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6502" w:type="dxa"/>
            <w:gridSpan w:val="2"/>
            <w:hideMark/>
          </w:tcPr>
          <w:p w:rsidR="00164870" w:rsidRPr="003B3D68" w:rsidRDefault="00164870" w:rsidP="009F6516">
            <w:pPr>
              <w:pStyle w:val="Sinespaciado"/>
              <w:jc w:val="center"/>
              <w:rPr>
                <w:rFonts w:asciiTheme="majorHAnsi" w:eastAsia="Calibri" w:hAnsiTheme="majorHAnsi" w:cstheme="majorHAnsi"/>
                <w:b w:val="0"/>
                <w:i/>
                <w:sz w:val="20"/>
                <w:szCs w:val="20"/>
                <w:lang w:eastAsia="es-CO"/>
              </w:rPr>
            </w:pPr>
            <w:r w:rsidRPr="003B3D68">
              <w:rPr>
                <w:rFonts w:asciiTheme="majorHAnsi" w:eastAsia="Calibri" w:hAnsiTheme="majorHAnsi" w:cstheme="majorHAnsi"/>
                <w:i/>
                <w:sz w:val="20"/>
                <w:szCs w:val="20"/>
                <w:lang w:eastAsia="es-CO"/>
              </w:rPr>
              <w:t xml:space="preserve">                                                                     RESERVA PRESUPUESTAL</w:t>
            </w:r>
          </w:p>
        </w:tc>
        <w:tc>
          <w:tcPr>
            <w:tcW w:w="2424" w:type="dxa"/>
          </w:tcPr>
          <w:p w:rsidR="00164870" w:rsidRPr="003B3D68" w:rsidRDefault="00164870" w:rsidP="009F6516">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sz w:val="20"/>
                <w:szCs w:val="20"/>
                <w:lang w:eastAsia="es-CO"/>
              </w:rPr>
            </w:pPr>
          </w:p>
        </w:tc>
      </w:tr>
      <w:tr w:rsidR="00164870" w:rsidRPr="003B3D68" w:rsidTr="003B3D68">
        <w:trPr>
          <w:trHeight w:val="190"/>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sz w:val="20"/>
                <w:szCs w:val="20"/>
                <w:lang w:eastAsia="es-CO"/>
              </w:rPr>
            </w:pPr>
            <w:r w:rsidRPr="003B3D68">
              <w:rPr>
                <w:rFonts w:asciiTheme="majorHAnsi" w:hAnsiTheme="majorHAnsi" w:cstheme="majorHAnsi"/>
                <w:b w:val="0"/>
                <w:sz w:val="20"/>
                <w:szCs w:val="20"/>
                <w:lang w:eastAsia="es-CO"/>
              </w:rPr>
              <w:t>Gastos de personal</w:t>
            </w:r>
          </w:p>
        </w:tc>
        <w:tc>
          <w:tcPr>
            <w:tcW w:w="2963" w:type="dxa"/>
            <w:hideMark/>
          </w:tcPr>
          <w:p w:rsidR="00164870" w:rsidRPr="003B3D68" w:rsidRDefault="00E278AA"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33.992.662,</w:t>
            </w:r>
            <w:r w:rsidR="00164870" w:rsidRPr="003B3D68">
              <w:rPr>
                <w:rFonts w:asciiTheme="majorHAnsi" w:hAnsiTheme="majorHAnsi" w:cstheme="majorHAnsi"/>
                <w:color w:val="595959"/>
                <w:sz w:val="20"/>
                <w:szCs w:val="20"/>
                <w:lang w:eastAsia="es-CO"/>
              </w:rPr>
              <w:t>00</w:t>
            </w:r>
          </w:p>
        </w:tc>
        <w:tc>
          <w:tcPr>
            <w:tcW w:w="2424" w:type="dxa"/>
          </w:tcPr>
          <w:p w:rsidR="00164870" w:rsidRPr="003B3D68" w:rsidRDefault="00E278AA"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s-CO"/>
              </w:rPr>
            </w:pPr>
            <w:r w:rsidRPr="003B3D68">
              <w:rPr>
                <w:rFonts w:asciiTheme="majorHAnsi" w:hAnsiTheme="majorHAnsi" w:cstheme="majorHAnsi"/>
                <w:color w:val="595959"/>
                <w:sz w:val="20"/>
                <w:szCs w:val="20"/>
                <w:lang w:eastAsia="es-CO"/>
              </w:rPr>
              <w:t>33.992.662,</w:t>
            </w:r>
            <w:r w:rsidR="00164870" w:rsidRPr="003B3D68">
              <w:rPr>
                <w:rFonts w:asciiTheme="majorHAnsi" w:hAnsiTheme="majorHAnsi" w:cstheme="majorHAnsi"/>
                <w:color w:val="595959"/>
                <w:sz w:val="20"/>
                <w:szCs w:val="20"/>
                <w:lang w:eastAsia="es-CO"/>
              </w:rPr>
              <w:t>00</w:t>
            </w: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E278AA" w:rsidP="009F6516">
            <w:pPr>
              <w:pStyle w:val="Sinespaciado"/>
              <w:rPr>
                <w:rFonts w:asciiTheme="majorHAnsi" w:eastAsia="Calibri" w:hAnsiTheme="majorHAnsi" w:cstheme="majorHAnsi"/>
                <w:b w:val="0"/>
                <w:sz w:val="20"/>
                <w:szCs w:val="20"/>
                <w:lang w:eastAsia="es-CO"/>
              </w:rPr>
            </w:pPr>
            <w:r w:rsidRPr="003B3D68">
              <w:rPr>
                <w:rFonts w:asciiTheme="majorHAnsi" w:eastAsia="Calibri" w:hAnsiTheme="majorHAnsi" w:cstheme="majorHAnsi"/>
                <w:b w:val="0"/>
                <w:sz w:val="20"/>
                <w:szCs w:val="20"/>
                <w:lang w:eastAsia="es-CO"/>
              </w:rPr>
              <w:t>Adquisición de Bienes y Servicios</w:t>
            </w:r>
          </w:p>
        </w:tc>
        <w:tc>
          <w:tcPr>
            <w:tcW w:w="2963" w:type="dxa"/>
            <w:hideMark/>
          </w:tcPr>
          <w:p w:rsidR="00164870" w:rsidRPr="003B3D68" w:rsidRDefault="00E278AA"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24.734.596,83</w:t>
            </w:r>
          </w:p>
        </w:tc>
        <w:tc>
          <w:tcPr>
            <w:tcW w:w="2424" w:type="dxa"/>
          </w:tcPr>
          <w:p w:rsidR="00164870" w:rsidRPr="003B3D68" w:rsidRDefault="00E278AA"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24.734.596,83</w:t>
            </w:r>
          </w:p>
        </w:tc>
      </w:tr>
      <w:tr w:rsidR="00164870" w:rsidRPr="003B3D68" w:rsidTr="003B3D68">
        <w:trPr>
          <w:trHeight w:val="137"/>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sz w:val="20"/>
                <w:szCs w:val="20"/>
                <w:lang w:eastAsia="es-CO"/>
              </w:rPr>
            </w:pPr>
            <w:r w:rsidRPr="003B3D68">
              <w:rPr>
                <w:rFonts w:asciiTheme="majorHAnsi" w:hAnsiTheme="majorHAnsi" w:cstheme="majorHAnsi"/>
                <w:b w:val="0"/>
                <w:sz w:val="20"/>
                <w:szCs w:val="20"/>
                <w:lang w:eastAsia="es-CO"/>
              </w:rPr>
              <w:t>Inversión</w:t>
            </w:r>
          </w:p>
        </w:tc>
        <w:tc>
          <w:tcPr>
            <w:tcW w:w="2963" w:type="dxa"/>
            <w:hideMark/>
          </w:tcPr>
          <w:p w:rsidR="00164870" w:rsidRPr="003B3D68" w:rsidRDefault="00E278AA"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734.393.721,85</w:t>
            </w:r>
          </w:p>
        </w:tc>
        <w:tc>
          <w:tcPr>
            <w:tcW w:w="2424" w:type="dxa"/>
          </w:tcPr>
          <w:p w:rsidR="00164870" w:rsidRPr="003B3D68" w:rsidRDefault="00E278AA"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734.393.721,85</w:t>
            </w: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iCs/>
                <w:sz w:val="20"/>
                <w:szCs w:val="20"/>
                <w:lang w:eastAsia="es-CO"/>
              </w:rPr>
            </w:pPr>
            <w:r w:rsidRPr="003B3D68">
              <w:rPr>
                <w:rFonts w:asciiTheme="majorHAnsi" w:hAnsiTheme="majorHAnsi" w:cstheme="majorHAnsi"/>
                <w:b w:val="0"/>
                <w:iCs/>
                <w:sz w:val="20"/>
                <w:szCs w:val="20"/>
                <w:lang w:eastAsia="es-CO"/>
              </w:rPr>
              <w:t>Total Reserva Presupuestal</w:t>
            </w:r>
          </w:p>
        </w:tc>
        <w:tc>
          <w:tcPr>
            <w:tcW w:w="2963" w:type="dxa"/>
          </w:tcPr>
          <w:p w:rsidR="00164870" w:rsidRPr="003B3D68" w:rsidRDefault="00E278AA"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595959"/>
                <w:sz w:val="20"/>
                <w:szCs w:val="20"/>
                <w:lang w:eastAsia="es-CO"/>
              </w:rPr>
            </w:pPr>
            <w:r w:rsidRPr="003B3D68">
              <w:rPr>
                <w:rFonts w:asciiTheme="majorHAnsi" w:hAnsiTheme="majorHAnsi" w:cstheme="majorHAnsi"/>
                <w:b/>
                <w:bCs/>
                <w:color w:val="595959"/>
                <w:sz w:val="20"/>
                <w:szCs w:val="20"/>
                <w:lang w:eastAsia="es-CO"/>
              </w:rPr>
              <w:t>793.120.980,68</w:t>
            </w:r>
          </w:p>
        </w:tc>
        <w:tc>
          <w:tcPr>
            <w:tcW w:w="2424" w:type="dxa"/>
          </w:tcPr>
          <w:p w:rsidR="00164870" w:rsidRPr="003B3D68" w:rsidRDefault="00E278AA"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595959"/>
                <w:sz w:val="20"/>
                <w:szCs w:val="20"/>
                <w:lang w:eastAsia="es-CO"/>
              </w:rPr>
            </w:pPr>
            <w:r w:rsidRPr="003B3D68">
              <w:rPr>
                <w:rFonts w:asciiTheme="majorHAnsi" w:hAnsiTheme="majorHAnsi" w:cstheme="majorHAnsi"/>
                <w:b/>
                <w:bCs/>
                <w:color w:val="595959"/>
                <w:sz w:val="20"/>
                <w:szCs w:val="20"/>
                <w:lang w:eastAsia="es-CO"/>
              </w:rPr>
              <w:t>793.120.980,68</w:t>
            </w:r>
          </w:p>
        </w:tc>
      </w:tr>
      <w:tr w:rsidR="00164870" w:rsidRPr="003B3D68" w:rsidTr="003B3D68">
        <w:trPr>
          <w:trHeight w:val="34"/>
        </w:trPr>
        <w:tc>
          <w:tcPr>
            <w:cnfStyle w:val="001000000000" w:firstRow="0" w:lastRow="0" w:firstColumn="1" w:lastColumn="0" w:oddVBand="0" w:evenVBand="0" w:oddHBand="0" w:evenHBand="0" w:firstRowFirstColumn="0" w:firstRowLastColumn="0" w:lastRowFirstColumn="0" w:lastRowLastColumn="0"/>
            <w:tcW w:w="6502" w:type="dxa"/>
            <w:gridSpan w:val="2"/>
            <w:hideMark/>
          </w:tcPr>
          <w:p w:rsidR="00164870" w:rsidRPr="003B3D68" w:rsidRDefault="00164870" w:rsidP="009F6516">
            <w:pPr>
              <w:pStyle w:val="Sinespaciado"/>
              <w:jc w:val="center"/>
              <w:rPr>
                <w:rFonts w:asciiTheme="majorHAnsi" w:eastAsia="Calibri" w:hAnsiTheme="majorHAnsi" w:cstheme="majorHAnsi"/>
                <w:i/>
                <w:sz w:val="20"/>
                <w:szCs w:val="20"/>
                <w:lang w:eastAsia="es-CO"/>
              </w:rPr>
            </w:pPr>
            <w:r w:rsidRPr="003B3D68">
              <w:rPr>
                <w:rFonts w:asciiTheme="majorHAnsi" w:eastAsia="Calibri" w:hAnsiTheme="majorHAnsi" w:cstheme="majorHAnsi"/>
                <w:b w:val="0"/>
                <w:i/>
                <w:sz w:val="20"/>
                <w:szCs w:val="20"/>
                <w:lang w:eastAsia="es-CO"/>
              </w:rPr>
              <w:t xml:space="preserve">                                                                        </w:t>
            </w:r>
            <w:r w:rsidRPr="003B3D68">
              <w:rPr>
                <w:rFonts w:asciiTheme="majorHAnsi" w:eastAsia="Calibri" w:hAnsiTheme="majorHAnsi" w:cstheme="majorHAnsi"/>
                <w:i/>
                <w:sz w:val="20"/>
                <w:szCs w:val="20"/>
                <w:lang w:eastAsia="es-CO"/>
              </w:rPr>
              <w:t>CUENTAS POR PAGAR</w:t>
            </w:r>
          </w:p>
        </w:tc>
        <w:tc>
          <w:tcPr>
            <w:tcW w:w="2424" w:type="dxa"/>
          </w:tcPr>
          <w:p w:rsidR="00164870" w:rsidRPr="003B3D68" w:rsidRDefault="00164870" w:rsidP="009F6516">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i/>
                <w:sz w:val="20"/>
                <w:szCs w:val="20"/>
                <w:lang w:eastAsia="es-CO"/>
              </w:rPr>
            </w:pP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sz w:val="20"/>
                <w:szCs w:val="20"/>
                <w:lang w:eastAsia="es-CO"/>
              </w:rPr>
            </w:pPr>
            <w:r w:rsidRPr="003B3D68">
              <w:rPr>
                <w:rFonts w:asciiTheme="majorHAnsi" w:hAnsiTheme="majorHAnsi" w:cstheme="majorHAnsi"/>
                <w:b w:val="0"/>
                <w:sz w:val="20"/>
                <w:szCs w:val="20"/>
                <w:lang w:eastAsia="es-CO"/>
              </w:rPr>
              <w:t xml:space="preserve">Gastos </w:t>
            </w:r>
            <w:r w:rsidR="00FC7270" w:rsidRPr="003B3D68">
              <w:rPr>
                <w:rFonts w:asciiTheme="majorHAnsi" w:hAnsiTheme="majorHAnsi" w:cstheme="majorHAnsi"/>
                <w:b w:val="0"/>
                <w:sz w:val="20"/>
                <w:szCs w:val="20"/>
                <w:lang w:eastAsia="es-CO"/>
              </w:rPr>
              <w:t>de Personal</w:t>
            </w:r>
          </w:p>
        </w:tc>
        <w:tc>
          <w:tcPr>
            <w:tcW w:w="2963" w:type="dxa"/>
            <w:hideMark/>
          </w:tcPr>
          <w:p w:rsidR="00164870" w:rsidRPr="003B3D68" w:rsidRDefault="001648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 xml:space="preserve"> </w:t>
            </w:r>
            <w:r w:rsidR="00FC7270" w:rsidRPr="003B3D68">
              <w:rPr>
                <w:rFonts w:asciiTheme="majorHAnsi" w:hAnsiTheme="majorHAnsi" w:cstheme="majorHAnsi"/>
                <w:color w:val="595959"/>
                <w:sz w:val="20"/>
                <w:szCs w:val="20"/>
                <w:lang w:eastAsia="es-CO"/>
              </w:rPr>
              <w:t>47.446.055,00</w:t>
            </w:r>
          </w:p>
        </w:tc>
        <w:tc>
          <w:tcPr>
            <w:tcW w:w="2424" w:type="dxa"/>
          </w:tcPr>
          <w:p w:rsidR="00164870" w:rsidRPr="003B3D68" w:rsidRDefault="00FC72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eastAsia="es-CO"/>
              </w:rPr>
            </w:pPr>
            <w:r w:rsidRPr="003B3D68">
              <w:rPr>
                <w:rFonts w:asciiTheme="majorHAnsi" w:hAnsiTheme="majorHAnsi" w:cstheme="majorHAnsi"/>
                <w:color w:val="595959"/>
                <w:sz w:val="20"/>
                <w:szCs w:val="20"/>
                <w:lang w:eastAsia="es-CO"/>
              </w:rPr>
              <w:t>47.446.055,00</w:t>
            </w:r>
          </w:p>
        </w:tc>
      </w:tr>
      <w:tr w:rsidR="00FC7270" w:rsidRPr="003B3D68" w:rsidTr="003B3D68">
        <w:trPr>
          <w:trHeight w:val="34"/>
        </w:trPr>
        <w:tc>
          <w:tcPr>
            <w:cnfStyle w:val="001000000000" w:firstRow="0" w:lastRow="0" w:firstColumn="1" w:lastColumn="0" w:oddVBand="0" w:evenVBand="0" w:oddHBand="0" w:evenHBand="0" w:firstRowFirstColumn="0" w:firstRowLastColumn="0" w:lastRowFirstColumn="0" w:lastRowLastColumn="0"/>
            <w:tcW w:w="3539" w:type="dxa"/>
          </w:tcPr>
          <w:p w:rsidR="00FC7270" w:rsidRPr="003B3D68" w:rsidRDefault="00FC7270" w:rsidP="009F6516">
            <w:pPr>
              <w:pStyle w:val="Sinespaciado"/>
              <w:rPr>
                <w:rFonts w:asciiTheme="majorHAnsi" w:hAnsiTheme="majorHAnsi" w:cstheme="majorHAnsi"/>
                <w:b w:val="0"/>
                <w:sz w:val="20"/>
                <w:szCs w:val="20"/>
                <w:lang w:eastAsia="es-CO"/>
              </w:rPr>
            </w:pPr>
            <w:r w:rsidRPr="003B3D68">
              <w:rPr>
                <w:rFonts w:asciiTheme="majorHAnsi" w:hAnsiTheme="majorHAnsi" w:cstheme="majorHAnsi"/>
                <w:b w:val="0"/>
                <w:sz w:val="20"/>
                <w:szCs w:val="20"/>
                <w:lang w:eastAsia="es-CO"/>
              </w:rPr>
              <w:t>Adquisición de Bienes y Servicios</w:t>
            </w:r>
          </w:p>
        </w:tc>
        <w:tc>
          <w:tcPr>
            <w:tcW w:w="2963" w:type="dxa"/>
          </w:tcPr>
          <w:p w:rsidR="00FC7270" w:rsidRPr="003B3D68" w:rsidRDefault="00FC7270"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154.684.774,00</w:t>
            </w:r>
          </w:p>
        </w:tc>
        <w:tc>
          <w:tcPr>
            <w:tcW w:w="2424" w:type="dxa"/>
          </w:tcPr>
          <w:p w:rsidR="00FC7270" w:rsidRPr="003B3D68" w:rsidRDefault="00FC7270"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154.684.774,00</w:t>
            </w: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sz w:val="20"/>
                <w:szCs w:val="20"/>
                <w:lang w:eastAsia="es-CO"/>
              </w:rPr>
            </w:pPr>
            <w:r w:rsidRPr="003B3D68">
              <w:rPr>
                <w:rFonts w:asciiTheme="majorHAnsi" w:hAnsiTheme="majorHAnsi" w:cstheme="majorHAnsi"/>
                <w:b w:val="0"/>
                <w:sz w:val="20"/>
                <w:szCs w:val="20"/>
                <w:lang w:eastAsia="es-CO"/>
              </w:rPr>
              <w:t>Inversión</w:t>
            </w:r>
          </w:p>
        </w:tc>
        <w:tc>
          <w:tcPr>
            <w:tcW w:w="2963" w:type="dxa"/>
            <w:hideMark/>
          </w:tcPr>
          <w:p w:rsidR="00164870" w:rsidRPr="003B3D68" w:rsidRDefault="00FC72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698.624.108,00</w:t>
            </w:r>
          </w:p>
        </w:tc>
        <w:tc>
          <w:tcPr>
            <w:tcW w:w="2424" w:type="dxa"/>
          </w:tcPr>
          <w:p w:rsidR="00164870" w:rsidRPr="003B3D68" w:rsidRDefault="00FC72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sz w:val="20"/>
                <w:szCs w:val="20"/>
                <w:lang w:eastAsia="es-CO"/>
              </w:rPr>
            </w:pPr>
            <w:r w:rsidRPr="003B3D68">
              <w:rPr>
                <w:rFonts w:asciiTheme="majorHAnsi" w:hAnsiTheme="majorHAnsi" w:cstheme="majorHAnsi"/>
                <w:color w:val="595959"/>
                <w:sz w:val="20"/>
                <w:szCs w:val="20"/>
                <w:lang w:eastAsia="es-CO"/>
              </w:rPr>
              <w:t>698.624.108,00</w:t>
            </w:r>
          </w:p>
        </w:tc>
      </w:tr>
      <w:tr w:rsidR="00164870" w:rsidRPr="003B3D68" w:rsidTr="003B3D68">
        <w:trPr>
          <w:trHeight w:val="34"/>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b w:val="0"/>
                <w:iCs/>
                <w:sz w:val="20"/>
                <w:szCs w:val="20"/>
                <w:lang w:eastAsia="es-CO"/>
              </w:rPr>
            </w:pPr>
            <w:r w:rsidRPr="003B3D68">
              <w:rPr>
                <w:rFonts w:asciiTheme="majorHAnsi" w:hAnsiTheme="majorHAnsi" w:cstheme="majorHAnsi"/>
                <w:b w:val="0"/>
                <w:iCs/>
                <w:sz w:val="20"/>
                <w:szCs w:val="20"/>
                <w:lang w:eastAsia="es-CO"/>
              </w:rPr>
              <w:t>Total Cuentas por Pagar</w:t>
            </w:r>
          </w:p>
        </w:tc>
        <w:tc>
          <w:tcPr>
            <w:tcW w:w="2963" w:type="dxa"/>
          </w:tcPr>
          <w:p w:rsidR="00164870" w:rsidRPr="003B3D68" w:rsidRDefault="00FC7270"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595959"/>
                <w:sz w:val="20"/>
                <w:szCs w:val="20"/>
                <w:lang w:eastAsia="es-CO"/>
              </w:rPr>
            </w:pPr>
            <w:r w:rsidRPr="003B3D68">
              <w:rPr>
                <w:rFonts w:asciiTheme="majorHAnsi" w:hAnsiTheme="majorHAnsi" w:cstheme="majorHAnsi"/>
                <w:b/>
                <w:bCs/>
                <w:color w:val="595959"/>
                <w:sz w:val="20"/>
                <w:szCs w:val="20"/>
                <w:lang w:eastAsia="es-CO"/>
              </w:rPr>
              <w:t>900.754.937,00</w:t>
            </w:r>
          </w:p>
        </w:tc>
        <w:tc>
          <w:tcPr>
            <w:tcW w:w="2424" w:type="dxa"/>
          </w:tcPr>
          <w:p w:rsidR="00164870" w:rsidRPr="003B3D68" w:rsidRDefault="00FC7270" w:rsidP="009F6516">
            <w:pPr>
              <w:pStyle w:val="Sinespaciad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595959"/>
                <w:sz w:val="20"/>
                <w:szCs w:val="20"/>
                <w:lang w:eastAsia="es-CO"/>
              </w:rPr>
            </w:pPr>
            <w:r w:rsidRPr="003B3D68">
              <w:rPr>
                <w:rFonts w:asciiTheme="majorHAnsi" w:hAnsiTheme="majorHAnsi" w:cstheme="majorHAnsi"/>
                <w:b/>
                <w:bCs/>
                <w:color w:val="595959"/>
                <w:sz w:val="20"/>
                <w:szCs w:val="20"/>
                <w:lang w:eastAsia="es-CO"/>
              </w:rPr>
              <w:t>900.754.937,00</w:t>
            </w:r>
          </w:p>
        </w:tc>
      </w:tr>
      <w:tr w:rsidR="00164870" w:rsidRPr="003B3D68" w:rsidTr="003B3D68">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539" w:type="dxa"/>
            <w:hideMark/>
          </w:tcPr>
          <w:p w:rsidR="00164870" w:rsidRPr="003B3D68" w:rsidRDefault="00164870" w:rsidP="009F6516">
            <w:pPr>
              <w:pStyle w:val="Sinespaciado"/>
              <w:rPr>
                <w:rFonts w:asciiTheme="majorHAnsi" w:eastAsia="Calibri" w:hAnsiTheme="majorHAnsi" w:cstheme="majorHAnsi"/>
                <w:sz w:val="20"/>
                <w:szCs w:val="20"/>
                <w:lang w:eastAsia="es-CO"/>
              </w:rPr>
            </w:pPr>
            <w:r w:rsidRPr="003B3D68">
              <w:rPr>
                <w:rFonts w:asciiTheme="majorHAnsi" w:hAnsiTheme="majorHAnsi" w:cstheme="majorHAnsi"/>
                <w:sz w:val="20"/>
                <w:szCs w:val="20"/>
                <w:lang w:eastAsia="es-CO"/>
              </w:rPr>
              <w:t>TOTAL REZAGO PRESUPUESTAL</w:t>
            </w:r>
          </w:p>
        </w:tc>
        <w:tc>
          <w:tcPr>
            <w:tcW w:w="2963" w:type="dxa"/>
          </w:tcPr>
          <w:p w:rsidR="00164870" w:rsidRPr="003B3D68" w:rsidRDefault="00FC72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color w:val="595959"/>
                <w:sz w:val="20"/>
                <w:szCs w:val="20"/>
                <w:lang w:eastAsia="es-CO"/>
              </w:rPr>
            </w:pPr>
            <w:r w:rsidRPr="003B3D68">
              <w:rPr>
                <w:rFonts w:asciiTheme="majorHAnsi" w:hAnsiTheme="majorHAnsi" w:cstheme="majorHAnsi"/>
                <w:b/>
                <w:bCs/>
                <w:i/>
                <w:color w:val="595959"/>
                <w:sz w:val="20"/>
                <w:szCs w:val="20"/>
                <w:lang w:eastAsia="es-CO"/>
              </w:rPr>
              <w:t>1.693.875.916,86</w:t>
            </w:r>
            <w:r w:rsidR="00164870" w:rsidRPr="003B3D68">
              <w:rPr>
                <w:rFonts w:asciiTheme="majorHAnsi" w:hAnsiTheme="majorHAnsi" w:cstheme="majorHAnsi"/>
                <w:b/>
                <w:bCs/>
                <w:i/>
                <w:color w:val="595959"/>
                <w:sz w:val="20"/>
                <w:szCs w:val="20"/>
                <w:lang w:eastAsia="es-CO"/>
              </w:rPr>
              <w:t xml:space="preserve">   </w:t>
            </w:r>
          </w:p>
        </w:tc>
        <w:tc>
          <w:tcPr>
            <w:tcW w:w="2424" w:type="dxa"/>
          </w:tcPr>
          <w:p w:rsidR="00164870" w:rsidRPr="003B3D68" w:rsidRDefault="00FC7270" w:rsidP="009F6516">
            <w:pPr>
              <w:pStyle w:val="Sinespaciad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color w:val="595959"/>
                <w:sz w:val="20"/>
                <w:szCs w:val="20"/>
                <w:lang w:eastAsia="es-CO"/>
              </w:rPr>
            </w:pPr>
            <w:r w:rsidRPr="003B3D68">
              <w:rPr>
                <w:rFonts w:asciiTheme="majorHAnsi" w:hAnsiTheme="majorHAnsi" w:cstheme="majorHAnsi"/>
                <w:b/>
                <w:bCs/>
                <w:i/>
                <w:color w:val="595959"/>
                <w:sz w:val="20"/>
                <w:szCs w:val="20"/>
                <w:lang w:eastAsia="es-CO"/>
              </w:rPr>
              <w:t xml:space="preserve">1.693.875.916,86   </w:t>
            </w:r>
          </w:p>
        </w:tc>
      </w:tr>
    </w:tbl>
    <w:p w:rsidR="0049668B" w:rsidRPr="004D0E9B" w:rsidRDefault="0049668B" w:rsidP="0049668B">
      <w:pPr>
        <w:pStyle w:val="Sinespaciado"/>
        <w:rPr>
          <w:b/>
          <w:i/>
          <w:sz w:val="16"/>
          <w:szCs w:val="16"/>
          <w:lang w:val="es-ES_tradnl"/>
        </w:rPr>
      </w:pPr>
      <w:r w:rsidRPr="004D0E9B">
        <w:rPr>
          <w:b/>
          <w:i/>
          <w:sz w:val="16"/>
          <w:szCs w:val="16"/>
          <w:lang w:val="es-ES_tradnl"/>
        </w:rPr>
        <w:t>Fuente: Rezago 2020_EjecuciónPresupuestalagregada- 2020-11-10-Excel</w:t>
      </w:r>
    </w:p>
    <w:p w:rsidR="00164870" w:rsidRPr="00BF1F3A" w:rsidRDefault="00164870" w:rsidP="00164870">
      <w:pPr>
        <w:autoSpaceDE w:val="0"/>
        <w:autoSpaceDN w:val="0"/>
        <w:adjustRightInd w:val="0"/>
        <w:spacing w:before="240"/>
        <w:ind w:left="-142"/>
        <w:jc w:val="both"/>
        <w:rPr>
          <w:rFonts w:ascii="Arial" w:hAnsi="Arial" w:cs="Arial"/>
          <w:color w:val="000000" w:themeColor="text1"/>
          <w:lang w:eastAsia="es-CO"/>
        </w:rPr>
      </w:pPr>
      <w:r w:rsidRPr="00BF1F3A">
        <w:rPr>
          <w:rFonts w:ascii="Arial" w:hAnsi="Arial" w:cs="Arial"/>
          <w:color w:val="000000" w:themeColor="text1"/>
          <w:lang w:eastAsia="es-CO"/>
        </w:rPr>
        <w:t>De acuerdo con el cuadro anterior, de la reserva presupuestal constituida por valor de $</w:t>
      </w:r>
      <w:r w:rsidR="0049668B">
        <w:rPr>
          <w:rFonts w:ascii="Arial" w:hAnsi="Arial" w:cs="Arial"/>
          <w:color w:val="000000" w:themeColor="text1"/>
          <w:lang w:eastAsia="es-CO"/>
        </w:rPr>
        <w:t>793.120.980.68</w:t>
      </w:r>
      <w:r w:rsidRPr="00BF1F3A">
        <w:rPr>
          <w:rFonts w:ascii="Arial" w:hAnsi="Arial" w:cs="Arial"/>
          <w:color w:val="000000" w:themeColor="text1"/>
          <w:lang w:eastAsia="es-CO"/>
        </w:rPr>
        <w:t xml:space="preserve"> se encuentra cancela</w:t>
      </w:r>
      <w:r w:rsidR="0049668B">
        <w:rPr>
          <w:rFonts w:ascii="Arial" w:hAnsi="Arial" w:cs="Arial"/>
          <w:color w:val="000000" w:themeColor="text1"/>
          <w:lang w:eastAsia="es-CO"/>
        </w:rPr>
        <w:t>da la totalidad</w:t>
      </w:r>
      <w:r w:rsidRPr="00BF1F3A">
        <w:rPr>
          <w:rFonts w:ascii="Arial" w:hAnsi="Arial" w:cs="Arial"/>
          <w:color w:val="000000" w:themeColor="text1"/>
          <w:lang w:eastAsia="es-CO"/>
        </w:rPr>
        <w:t>. Así mismo, las cuentas por pagar</w:t>
      </w:r>
      <w:r w:rsidR="0049668B">
        <w:rPr>
          <w:rFonts w:ascii="Arial" w:hAnsi="Arial" w:cs="Arial"/>
          <w:color w:val="000000" w:themeColor="text1"/>
          <w:lang w:eastAsia="es-CO"/>
        </w:rPr>
        <w:t xml:space="preserve"> por valor de $900.754.93</w:t>
      </w:r>
      <w:r w:rsidR="002F1ABC">
        <w:rPr>
          <w:rFonts w:ascii="Arial" w:hAnsi="Arial" w:cs="Arial"/>
          <w:color w:val="000000" w:themeColor="text1"/>
          <w:lang w:eastAsia="es-CO"/>
        </w:rPr>
        <w:t>7</w:t>
      </w:r>
      <w:r w:rsidR="0049668B">
        <w:rPr>
          <w:rFonts w:ascii="Arial" w:hAnsi="Arial" w:cs="Arial"/>
          <w:color w:val="000000" w:themeColor="text1"/>
          <w:lang w:eastAsia="es-CO"/>
        </w:rPr>
        <w:t>.00</w:t>
      </w:r>
      <w:r w:rsidRPr="00BF1F3A">
        <w:rPr>
          <w:rFonts w:ascii="Arial" w:hAnsi="Arial" w:cs="Arial"/>
          <w:color w:val="000000" w:themeColor="text1"/>
          <w:lang w:eastAsia="es-CO"/>
        </w:rPr>
        <w:t xml:space="preserve"> </w:t>
      </w:r>
      <w:r w:rsidR="0049668B">
        <w:rPr>
          <w:rFonts w:ascii="Arial" w:hAnsi="Arial" w:cs="Arial"/>
          <w:color w:val="000000" w:themeColor="text1"/>
          <w:lang w:eastAsia="es-CO"/>
        </w:rPr>
        <w:t>ya fueron canceladas</w:t>
      </w:r>
      <w:r w:rsidRPr="00BF1F3A">
        <w:rPr>
          <w:rFonts w:ascii="Arial" w:hAnsi="Arial" w:cs="Arial"/>
          <w:color w:val="000000" w:themeColor="text1"/>
          <w:lang w:eastAsia="es-CO"/>
        </w:rPr>
        <w:t>.</w:t>
      </w:r>
      <w:r w:rsidR="002F1ABC">
        <w:rPr>
          <w:rFonts w:ascii="Arial" w:hAnsi="Arial" w:cs="Arial"/>
          <w:color w:val="000000" w:themeColor="text1"/>
          <w:lang w:eastAsia="es-CO"/>
        </w:rPr>
        <w:t xml:space="preserve"> </w:t>
      </w:r>
    </w:p>
    <w:p w:rsidR="00164870" w:rsidRDefault="00164870" w:rsidP="00164870">
      <w:pPr>
        <w:rPr>
          <w:lang w:eastAsia="es-CO"/>
        </w:rPr>
      </w:pPr>
    </w:p>
    <w:p w:rsidR="00647BB7" w:rsidRPr="007A61AE" w:rsidRDefault="00647BB7" w:rsidP="00647BB7">
      <w:pPr>
        <w:pStyle w:val="Prrafodelista"/>
        <w:numPr>
          <w:ilvl w:val="0"/>
          <w:numId w:val="19"/>
        </w:numPr>
        <w:jc w:val="both"/>
        <w:rPr>
          <w:rFonts w:ascii="Arial" w:hAnsi="Arial" w:cs="Arial"/>
          <w:b/>
        </w:rPr>
      </w:pPr>
      <w:bookmarkStart w:id="1" w:name="_Hlk55888248"/>
      <w:r w:rsidRPr="007A61AE">
        <w:rPr>
          <w:rFonts w:ascii="Arial" w:hAnsi="Arial" w:cs="Arial"/>
          <w:b/>
        </w:rPr>
        <w:t>Políticas de Operación y Seguridad del SIIF Nación vigencia 20</w:t>
      </w:r>
      <w:r w:rsidR="00384E8C">
        <w:rPr>
          <w:rFonts w:ascii="Arial" w:hAnsi="Arial" w:cs="Arial"/>
          <w:b/>
        </w:rPr>
        <w:t>20</w:t>
      </w:r>
    </w:p>
    <w:bookmarkEnd w:id="1"/>
    <w:p w:rsidR="00647BB7" w:rsidRPr="007A61AE" w:rsidRDefault="00647BB7" w:rsidP="004A61B4">
      <w:pPr>
        <w:autoSpaceDE w:val="0"/>
        <w:autoSpaceDN w:val="0"/>
        <w:adjustRightInd w:val="0"/>
        <w:jc w:val="both"/>
        <w:rPr>
          <w:b/>
        </w:rPr>
      </w:pPr>
    </w:p>
    <w:p w:rsidR="00DD1C73" w:rsidRDefault="00647BB7" w:rsidP="00647BB7">
      <w:pPr>
        <w:autoSpaceDE w:val="0"/>
        <w:autoSpaceDN w:val="0"/>
        <w:adjustRightInd w:val="0"/>
        <w:jc w:val="both"/>
        <w:rPr>
          <w:rFonts w:ascii="Arial" w:hAnsi="Arial" w:cs="Arial"/>
          <w:color w:val="404040"/>
        </w:rPr>
      </w:pPr>
      <w:r>
        <w:rPr>
          <w:rFonts w:ascii="Arial" w:hAnsi="Arial" w:cs="Arial"/>
          <w:color w:val="404040"/>
        </w:rPr>
        <w:t>El Grupo de Gestión Financiera de Función Pública</w:t>
      </w:r>
      <w:r w:rsidR="005C117C">
        <w:rPr>
          <w:rFonts w:ascii="Arial" w:hAnsi="Arial" w:cs="Arial"/>
          <w:color w:val="404040"/>
        </w:rPr>
        <w:t>,</w:t>
      </w:r>
      <w:r>
        <w:rPr>
          <w:rFonts w:ascii="Arial" w:hAnsi="Arial" w:cs="Arial"/>
          <w:color w:val="404040"/>
        </w:rPr>
        <w:t xml:space="preserve"> registra sus operaciones en SIIF Nación dando aplicabilidad al Decret</w:t>
      </w:r>
      <w:r w:rsidR="00DD1C73">
        <w:rPr>
          <w:rFonts w:ascii="Arial" w:hAnsi="Arial" w:cs="Arial"/>
          <w:color w:val="404040"/>
        </w:rPr>
        <w:t xml:space="preserve">o 2789 del 31 de agosto de 2004 y demás reglamentación </w:t>
      </w:r>
      <w:r w:rsidR="005C117C">
        <w:rPr>
          <w:rFonts w:ascii="Arial" w:hAnsi="Arial" w:cs="Arial"/>
          <w:color w:val="404040"/>
        </w:rPr>
        <w:t>expedida por</w:t>
      </w:r>
      <w:r w:rsidR="00DD1C73">
        <w:rPr>
          <w:rFonts w:ascii="Arial" w:hAnsi="Arial" w:cs="Arial"/>
          <w:color w:val="404040"/>
        </w:rPr>
        <w:t xml:space="preserve"> </w:t>
      </w:r>
      <w:r>
        <w:rPr>
          <w:rFonts w:ascii="Arial" w:hAnsi="Arial" w:cs="Arial"/>
          <w:color w:val="404040"/>
        </w:rPr>
        <w:t>el Ministerio de Hacienda y Crédito Público</w:t>
      </w:r>
      <w:r w:rsidR="00DD1C73">
        <w:rPr>
          <w:rFonts w:ascii="Arial" w:hAnsi="Arial" w:cs="Arial"/>
          <w:color w:val="404040"/>
        </w:rPr>
        <w:t>.</w:t>
      </w:r>
    </w:p>
    <w:p w:rsidR="00DD1C73" w:rsidRDefault="00DD1C73" w:rsidP="00647BB7">
      <w:pPr>
        <w:autoSpaceDE w:val="0"/>
        <w:autoSpaceDN w:val="0"/>
        <w:adjustRightInd w:val="0"/>
        <w:jc w:val="both"/>
        <w:rPr>
          <w:rFonts w:ascii="Arial" w:hAnsi="Arial" w:cs="Arial"/>
          <w:color w:val="404040"/>
        </w:rPr>
      </w:pPr>
    </w:p>
    <w:p w:rsidR="00FA0883" w:rsidRDefault="00DD1C73" w:rsidP="00647BB7">
      <w:pPr>
        <w:autoSpaceDE w:val="0"/>
        <w:autoSpaceDN w:val="0"/>
        <w:adjustRightInd w:val="0"/>
        <w:jc w:val="both"/>
        <w:rPr>
          <w:rFonts w:ascii="Arial" w:hAnsi="Arial" w:cs="Arial"/>
          <w:color w:val="404040"/>
        </w:rPr>
      </w:pPr>
      <w:r>
        <w:rPr>
          <w:rFonts w:ascii="Arial" w:hAnsi="Arial" w:cs="Arial"/>
          <w:color w:val="404040"/>
        </w:rPr>
        <w:t>En</w:t>
      </w:r>
      <w:r w:rsidRPr="00DD1C73">
        <w:rPr>
          <w:rFonts w:ascii="Arial" w:hAnsi="Arial" w:cs="Arial"/>
          <w:color w:val="404040"/>
        </w:rPr>
        <w:t xml:space="preserve"> cumplimiento de las políticas de seguridad contenidas en el Decreto No</w:t>
      </w:r>
      <w:r w:rsidR="005C117C">
        <w:rPr>
          <w:rFonts w:ascii="Arial" w:hAnsi="Arial" w:cs="Arial"/>
          <w:color w:val="404040"/>
        </w:rPr>
        <w:t>.</w:t>
      </w:r>
      <w:r w:rsidRPr="00DD1C73">
        <w:rPr>
          <w:rFonts w:ascii="Arial" w:hAnsi="Arial" w:cs="Arial"/>
          <w:color w:val="404040"/>
        </w:rPr>
        <w:t xml:space="preserve"> 1068 de mayo de 2015 Parte 9 y la Circular externa No</w:t>
      </w:r>
      <w:r w:rsidR="005C117C">
        <w:rPr>
          <w:rFonts w:ascii="Arial" w:hAnsi="Arial" w:cs="Arial"/>
          <w:color w:val="404040"/>
        </w:rPr>
        <w:t>.</w:t>
      </w:r>
      <w:r w:rsidRPr="00DD1C73">
        <w:rPr>
          <w:rFonts w:ascii="Arial" w:hAnsi="Arial" w:cs="Arial"/>
          <w:color w:val="404040"/>
        </w:rPr>
        <w:t xml:space="preserve"> 040 de octubre de 2015; expedidos por el Ministerio d</w:t>
      </w:r>
      <w:r>
        <w:rPr>
          <w:rFonts w:ascii="Arial" w:hAnsi="Arial" w:cs="Arial"/>
          <w:color w:val="404040"/>
        </w:rPr>
        <w:t>e Hacienda y Crédito Público</w:t>
      </w:r>
      <w:r w:rsidR="00FA0883">
        <w:rPr>
          <w:rFonts w:ascii="Arial" w:hAnsi="Arial" w:cs="Arial"/>
          <w:color w:val="404040"/>
        </w:rPr>
        <w:t xml:space="preserve">, </w:t>
      </w:r>
      <w:r w:rsidR="00FA0883" w:rsidRPr="00FA0883">
        <w:rPr>
          <w:rFonts w:ascii="Arial" w:hAnsi="Arial" w:cs="Arial"/>
          <w:color w:val="404040"/>
        </w:rPr>
        <w:t xml:space="preserve">a </w:t>
      </w:r>
      <w:r w:rsidR="005C117C" w:rsidRPr="00FA0883">
        <w:rPr>
          <w:rFonts w:ascii="Arial" w:hAnsi="Arial" w:cs="Arial"/>
          <w:color w:val="404040"/>
        </w:rPr>
        <w:t>continuación,</w:t>
      </w:r>
      <w:r w:rsidR="00FA0883" w:rsidRPr="00FA0883">
        <w:rPr>
          <w:rFonts w:ascii="Arial" w:hAnsi="Arial" w:cs="Arial"/>
          <w:color w:val="404040"/>
        </w:rPr>
        <w:t xml:space="preserve"> se presentan las conclusiones del seguimiento realizado a las políticas de operación y seguridad del SIIF Nación, el cual permite salvaguardar la integridad, confidencialidad y disponibilidad de la información financiera:</w:t>
      </w:r>
    </w:p>
    <w:p w:rsidR="00FA0883" w:rsidRDefault="00FA0883" w:rsidP="00AD2F39">
      <w:pPr>
        <w:pStyle w:val="Prrafodelista"/>
        <w:numPr>
          <w:ilvl w:val="0"/>
          <w:numId w:val="33"/>
        </w:numPr>
        <w:autoSpaceDE w:val="0"/>
        <w:autoSpaceDN w:val="0"/>
        <w:adjustRightInd w:val="0"/>
        <w:spacing w:before="240" w:after="200" w:line="276" w:lineRule="auto"/>
        <w:jc w:val="both"/>
        <w:rPr>
          <w:rFonts w:ascii="Arial" w:hAnsi="Arial" w:cs="Arial"/>
          <w:color w:val="404040"/>
        </w:rPr>
      </w:pPr>
      <w:r w:rsidRPr="00AD2F39">
        <w:rPr>
          <w:rFonts w:ascii="Arial" w:hAnsi="Arial" w:cs="Arial"/>
          <w:color w:val="404040"/>
          <w:shd w:val="clear" w:color="auto" w:fill="FFFFFF" w:themeFill="background1"/>
        </w:rPr>
        <w:t>El Departamento</w:t>
      </w:r>
      <w:r w:rsidRPr="00AD2F39">
        <w:rPr>
          <w:rFonts w:ascii="Arial" w:hAnsi="Arial" w:cs="Arial"/>
          <w:color w:val="404040"/>
        </w:rPr>
        <w:t xml:space="preserve"> viene dando estricto cumplimiento a lo establecido en el art 33 del decreto </w:t>
      </w:r>
      <w:r w:rsidR="005C117C" w:rsidRPr="00AD2F39">
        <w:rPr>
          <w:rFonts w:ascii="Arial" w:hAnsi="Arial" w:cs="Arial"/>
          <w:color w:val="404040"/>
        </w:rPr>
        <w:t xml:space="preserve">No. </w:t>
      </w:r>
      <w:r w:rsidRPr="00AD2F39">
        <w:rPr>
          <w:rFonts w:ascii="Arial" w:hAnsi="Arial" w:cs="Arial"/>
          <w:color w:val="404040"/>
        </w:rPr>
        <w:t xml:space="preserve">2674 de 2012 (consolidado en el Decreto </w:t>
      </w:r>
      <w:r w:rsidR="005C117C" w:rsidRPr="00AD2F39">
        <w:rPr>
          <w:rFonts w:ascii="Arial" w:hAnsi="Arial" w:cs="Arial"/>
          <w:color w:val="404040"/>
        </w:rPr>
        <w:t xml:space="preserve">No. </w:t>
      </w:r>
      <w:r w:rsidRPr="00AD2F39">
        <w:rPr>
          <w:rFonts w:ascii="Arial" w:hAnsi="Arial" w:cs="Arial"/>
          <w:color w:val="404040"/>
        </w:rPr>
        <w:t>1068 de 2015), en el sentido de no contar con otro software financiero diferente al SIIF-Nación para el registro y ejecución de la información presupuestal y contable.</w:t>
      </w:r>
    </w:p>
    <w:p w:rsidR="00AD2F39" w:rsidRPr="00AD2F39" w:rsidRDefault="00AD2F39" w:rsidP="00AD2F39">
      <w:pPr>
        <w:pStyle w:val="Prrafodelista"/>
        <w:autoSpaceDE w:val="0"/>
        <w:autoSpaceDN w:val="0"/>
        <w:adjustRightInd w:val="0"/>
        <w:spacing w:before="240" w:after="200" w:line="276" w:lineRule="auto"/>
        <w:jc w:val="both"/>
        <w:rPr>
          <w:rFonts w:ascii="Arial" w:hAnsi="Arial" w:cs="Arial"/>
          <w:color w:val="404040"/>
        </w:rPr>
      </w:pPr>
    </w:p>
    <w:p w:rsidR="00FA0883" w:rsidRDefault="00FA0883" w:rsidP="00AD2F39">
      <w:pPr>
        <w:pStyle w:val="Prrafodelista"/>
        <w:numPr>
          <w:ilvl w:val="0"/>
          <w:numId w:val="33"/>
        </w:numPr>
        <w:autoSpaceDE w:val="0"/>
        <w:autoSpaceDN w:val="0"/>
        <w:adjustRightInd w:val="0"/>
        <w:spacing w:before="240" w:after="200" w:line="276" w:lineRule="auto"/>
        <w:jc w:val="both"/>
        <w:rPr>
          <w:rFonts w:ascii="Arial" w:hAnsi="Arial" w:cs="Arial"/>
          <w:color w:val="404040"/>
        </w:rPr>
      </w:pPr>
      <w:r w:rsidRPr="00AD2F39">
        <w:rPr>
          <w:rFonts w:ascii="Arial" w:hAnsi="Arial" w:cs="Arial"/>
          <w:color w:val="404040"/>
        </w:rPr>
        <w:t xml:space="preserve">Los Estados Contables presentados para la rendición de cuentas a la Contraloría General de la República, son tomados del sistema oficial SIIF-Nación. </w:t>
      </w:r>
    </w:p>
    <w:p w:rsidR="00AD2F39" w:rsidRPr="00AD2F39" w:rsidRDefault="00AD2F39" w:rsidP="00AD2F39">
      <w:pPr>
        <w:pStyle w:val="Prrafodelista"/>
        <w:autoSpaceDE w:val="0"/>
        <w:autoSpaceDN w:val="0"/>
        <w:adjustRightInd w:val="0"/>
        <w:spacing w:before="240" w:after="200" w:line="276" w:lineRule="auto"/>
        <w:jc w:val="both"/>
        <w:rPr>
          <w:rFonts w:ascii="Arial" w:hAnsi="Arial" w:cs="Arial"/>
          <w:color w:val="404040"/>
        </w:rPr>
      </w:pPr>
    </w:p>
    <w:p w:rsidR="004F6A9F" w:rsidRDefault="004F6A9F" w:rsidP="00AD2F39">
      <w:pPr>
        <w:pStyle w:val="Prrafodelista"/>
        <w:numPr>
          <w:ilvl w:val="0"/>
          <w:numId w:val="33"/>
        </w:numPr>
        <w:autoSpaceDE w:val="0"/>
        <w:autoSpaceDN w:val="0"/>
        <w:adjustRightInd w:val="0"/>
        <w:spacing w:before="240" w:after="200" w:line="276" w:lineRule="auto"/>
        <w:jc w:val="both"/>
        <w:rPr>
          <w:rFonts w:ascii="Arial" w:hAnsi="Arial" w:cs="Arial"/>
          <w:color w:val="404040"/>
        </w:rPr>
      </w:pPr>
      <w:r w:rsidRPr="00AD2F39">
        <w:rPr>
          <w:rFonts w:ascii="Arial" w:hAnsi="Arial" w:cs="Arial"/>
          <w:color w:val="404040"/>
        </w:rPr>
        <w:t>El artículo 15 - Responsabilidades de la Coordinación del SIIF en la Entidad: El Coordinador SIIF Entidad será responsable de la implantación de las medidas de seguridad señaladas por el Comité Operativo y de Seguridad y de la administración de los usuarios de la Entidad, referente a este punto se obtuvieron los siguientes resultados:</w:t>
      </w:r>
    </w:p>
    <w:p w:rsidR="00AD2F39" w:rsidRPr="00AD2F39" w:rsidRDefault="00AD2F39" w:rsidP="00AD2F39">
      <w:pPr>
        <w:pStyle w:val="Prrafodelista"/>
        <w:autoSpaceDE w:val="0"/>
        <w:autoSpaceDN w:val="0"/>
        <w:adjustRightInd w:val="0"/>
        <w:spacing w:before="240" w:after="200" w:line="276" w:lineRule="auto"/>
        <w:jc w:val="both"/>
        <w:rPr>
          <w:rFonts w:ascii="Arial" w:hAnsi="Arial" w:cs="Arial"/>
          <w:color w:val="404040"/>
        </w:rPr>
      </w:pPr>
    </w:p>
    <w:p w:rsidR="004F6A9F" w:rsidRPr="007F6633" w:rsidRDefault="004F6A9F"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Responder por la creación de usuarios</w:t>
      </w:r>
    </w:p>
    <w:p w:rsidR="004F6A9F" w:rsidRDefault="004F6A9F" w:rsidP="004F6A9F">
      <w:pPr>
        <w:autoSpaceDE w:val="0"/>
        <w:autoSpaceDN w:val="0"/>
        <w:adjustRightInd w:val="0"/>
        <w:spacing w:before="240" w:after="200" w:line="276" w:lineRule="auto"/>
        <w:jc w:val="both"/>
        <w:rPr>
          <w:rFonts w:ascii="Arial" w:hAnsi="Arial" w:cs="Arial"/>
          <w:color w:val="404040"/>
        </w:rPr>
      </w:pPr>
      <w:r w:rsidRPr="004F6A9F">
        <w:rPr>
          <w:rFonts w:ascii="Arial" w:hAnsi="Arial" w:cs="Arial"/>
          <w:color w:val="404040"/>
        </w:rPr>
        <w:t xml:space="preserve">A continuación, se presenta un cuadro detallando el </w:t>
      </w:r>
      <w:bookmarkStart w:id="2" w:name="_Hlk55888354"/>
      <w:r w:rsidRPr="004F6A9F">
        <w:rPr>
          <w:rFonts w:ascii="Arial" w:hAnsi="Arial" w:cs="Arial"/>
          <w:color w:val="404040"/>
        </w:rPr>
        <w:t>número de usuarios creados</w:t>
      </w:r>
      <w:r w:rsidR="006A7928">
        <w:rPr>
          <w:rFonts w:ascii="Arial" w:hAnsi="Arial" w:cs="Arial"/>
          <w:color w:val="404040"/>
        </w:rPr>
        <w:t xml:space="preserve"> y activos</w:t>
      </w:r>
      <w:r w:rsidRPr="004F6A9F">
        <w:rPr>
          <w:rFonts w:ascii="Arial" w:hAnsi="Arial" w:cs="Arial"/>
          <w:color w:val="404040"/>
        </w:rPr>
        <w:t xml:space="preserve"> por la entidad ante el SIIF Nación</w:t>
      </w:r>
      <w:bookmarkEnd w:id="2"/>
      <w:r w:rsidRPr="004F6A9F">
        <w:rPr>
          <w:rFonts w:ascii="Arial" w:hAnsi="Arial" w:cs="Arial"/>
          <w:color w:val="404040"/>
        </w:rPr>
        <w:t>, así como el estado de cada uno de ellos</w:t>
      </w:r>
      <w:r w:rsidR="00D67E21">
        <w:rPr>
          <w:rFonts w:ascii="Arial" w:hAnsi="Arial" w:cs="Arial"/>
          <w:color w:val="404040"/>
        </w:rPr>
        <w:t xml:space="preserve"> (Reporte de usuarios SIIF – </w:t>
      </w:r>
      <w:r w:rsidR="002E2FB9">
        <w:rPr>
          <w:rFonts w:ascii="Arial" w:hAnsi="Arial" w:cs="Arial"/>
          <w:color w:val="404040"/>
        </w:rPr>
        <w:t>11-11-2020</w:t>
      </w:r>
      <w:r w:rsidR="00D67E21">
        <w:rPr>
          <w:rFonts w:ascii="Arial" w:hAnsi="Arial" w:cs="Arial"/>
          <w:color w:val="404040"/>
        </w:rPr>
        <w:t>):</w:t>
      </w:r>
    </w:p>
    <w:tbl>
      <w:tblPr>
        <w:tblStyle w:val="Tablaconcuadrcula1clara-nfasis5"/>
        <w:tblW w:w="0" w:type="auto"/>
        <w:tblLook w:val="04A0" w:firstRow="1" w:lastRow="0" w:firstColumn="1" w:lastColumn="0" w:noHBand="0" w:noVBand="1"/>
      </w:tblPr>
      <w:tblGrid>
        <w:gridCol w:w="2270"/>
        <w:gridCol w:w="2249"/>
        <w:gridCol w:w="2259"/>
        <w:gridCol w:w="2284"/>
      </w:tblGrid>
      <w:tr w:rsidR="00D67E21" w:rsidRPr="003B3D68" w:rsidTr="00093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rsidR="00D67E21" w:rsidRPr="003B3D68" w:rsidRDefault="00D67E21" w:rsidP="00D67E21">
            <w:pPr>
              <w:autoSpaceDE w:val="0"/>
              <w:autoSpaceDN w:val="0"/>
              <w:adjustRightInd w:val="0"/>
              <w:spacing w:before="240" w:after="200" w:line="276" w:lineRule="auto"/>
              <w:jc w:val="center"/>
              <w:rPr>
                <w:rFonts w:asciiTheme="majorHAnsi" w:hAnsiTheme="majorHAnsi" w:cstheme="majorHAnsi"/>
                <w:i/>
                <w:color w:val="404040" w:themeColor="text1" w:themeTint="BF"/>
                <w:sz w:val="20"/>
                <w:szCs w:val="20"/>
              </w:rPr>
            </w:pPr>
            <w:r w:rsidRPr="003B3D68">
              <w:rPr>
                <w:rFonts w:asciiTheme="majorHAnsi" w:hAnsiTheme="majorHAnsi" w:cstheme="majorHAnsi"/>
                <w:i/>
                <w:color w:val="404040" w:themeColor="text1" w:themeTint="BF"/>
                <w:sz w:val="20"/>
                <w:szCs w:val="20"/>
              </w:rPr>
              <w:t>AREA</w:t>
            </w:r>
          </w:p>
        </w:tc>
        <w:tc>
          <w:tcPr>
            <w:tcW w:w="2249" w:type="dxa"/>
          </w:tcPr>
          <w:p w:rsidR="00D67E21" w:rsidRPr="003B3D68" w:rsidRDefault="00D67E2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404040" w:themeColor="text1" w:themeTint="BF"/>
                <w:sz w:val="20"/>
                <w:szCs w:val="20"/>
              </w:rPr>
            </w:pPr>
            <w:r w:rsidRPr="003B3D68">
              <w:rPr>
                <w:rFonts w:asciiTheme="majorHAnsi" w:hAnsiTheme="majorHAnsi" w:cstheme="majorHAnsi"/>
                <w:i/>
                <w:color w:val="404040" w:themeColor="text1" w:themeTint="BF"/>
                <w:sz w:val="20"/>
                <w:szCs w:val="20"/>
              </w:rPr>
              <w:t>USUARIO</w:t>
            </w:r>
          </w:p>
        </w:tc>
        <w:tc>
          <w:tcPr>
            <w:tcW w:w="2259" w:type="dxa"/>
          </w:tcPr>
          <w:p w:rsidR="00D67E21" w:rsidRPr="003B3D68" w:rsidRDefault="00D67E2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404040" w:themeColor="text1" w:themeTint="BF"/>
                <w:sz w:val="20"/>
                <w:szCs w:val="20"/>
              </w:rPr>
            </w:pPr>
            <w:r w:rsidRPr="003B3D68">
              <w:rPr>
                <w:rFonts w:asciiTheme="majorHAnsi" w:hAnsiTheme="majorHAnsi" w:cstheme="majorHAnsi"/>
                <w:i/>
                <w:color w:val="404040" w:themeColor="text1" w:themeTint="BF"/>
                <w:sz w:val="20"/>
                <w:szCs w:val="20"/>
              </w:rPr>
              <w:t>FECHA EXPIRACIÓN</w:t>
            </w:r>
          </w:p>
        </w:tc>
        <w:tc>
          <w:tcPr>
            <w:tcW w:w="2284" w:type="dxa"/>
          </w:tcPr>
          <w:p w:rsidR="00D67E21" w:rsidRPr="003B3D68" w:rsidRDefault="00A7104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404040" w:themeColor="text1" w:themeTint="BF"/>
                <w:sz w:val="20"/>
                <w:szCs w:val="20"/>
              </w:rPr>
            </w:pPr>
            <w:r w:rsidRPr="003B3D68">
              <w:rPr>
                <w:rFonts w:asciiTheme="majorHAnsi" w:hAnsiTheme="majorHAnsi" w:cstheme="majorHAnsi"/>
                <w:i/>
                <w:color w:val="404040" w:themeColor="text1" w:themeTint="BF"/>
                <w:sz w:val="20"/>
                <w:szCs w:val="20"/>
              </w:rPr>
              <w:t>ACTIVO/INACTIVO</w:t>
            </w:r>
          </w:p>
        </w:tc>
      </w:tr>
      <w:tr w:rsidR="00A648B5" w:rsidRPr="003B3D68" w:rsidTr="00093654">
        <w:trPr>
          <w:trHeight w:val="463"/>
        </w:trPr>
        <w:tc>
          <w:tcPr>
            <w:cnfStyle w:val="001000000000" w:firstRow="0" w:lastRow="0" w:firstColumn="1" w:lastColumn="0" w:oddVBand="0" w:evenVBand="0" w:oddHBand="0" w:evenHBand="0" w:firstRowFirstColumn="0" w:firstRowLastColumn="0" w:lastRowFirstColumn="0" w:lastRowLastColumn="0"/>
            <w:tcW w:w="2270" w:type="dxa"/>
            <w:vMerge w:val="restart"/>
          </w:tcPr>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A648B5" w:rsidP="000A5F49">
            <w:pPr>
              <w:pStyle w:val="Sinespaciado"/>
              <w:rPr>
                <w:rFonts w:asciiTheme="majorHAnsi" w:hAnsiTheme="majorHAnsi" w:cstheme="majorHAnsi"/>
                <w:color w:val="767171" w:themeColor="background2" w:themeShade="80"/>
                <w:sz w:val="20"/>
                <w:szCs w:val="20"/>
              </w:rPr>
            </w:pPr>
          </w:p>
          <w:p w:rsidR="00A648B5" w:rsidRPr="003B3D68" w:rsidRDefault="00561697"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Grupo Gestión</w:t>
            </w:r>
          </w:p>
          <w:p w:rsidR="00A648B5" w:rsidRPr="003B3D68" w:rsidRDefault="00A648B5" w:rsidP="00093654">
            <w:pPr>
              <w:pStyle w:val="Sinespaciado"/>
              <w:jc w:val="center"/>
              <w:rPr>
                <w:rFonts w:asciiTheme="majorHAnsi" w:hAnsiTheme="majorHAnsi" w:cstheme="majorHAnsi"/>
                <w:b w:val="0"/>
                <w:bCs w:val="0"/>
                <w:color w:val="767171" w:themeColor="background2" w:themeShade="80"/>
                <w:sz w:val="20"/>
                <w:szCs w:val="20"/>
              </w:rPr>
            </w:pPr>
            <w:r w:rsidRPr="003B3D68">
              <w:rPr>
                <w:rFonts w:asciiTheme="majorHAnsi" w:hAnsiTheme="majorHAnsi" w:cstheme="majorHAnsi"/>
                <w:color w:val="767171" w:themeColor="background2" w:themeShade="80"/>
                <w:sz w:val="20"/>
                <w:szCs w:val="20"/>
              </w:rPr>
              <w:t>Financiera</w:t>
            </w:r>
          </w:p>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Camargo cadena Jenny Constanza</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2021-10-09</w:t>
            </w:r>
          </w:p>
        </w:tc>
        <w:tc>
          <w:tcPr>
            <w:tcW w:w="2284" w:type="dxa"/>
          </w:tcPr>
          <w:p w:rsidR="00A648B5" w:rsidRPr="003B3D68" w:rsidRDefault="00A648B5" w:rsidP="00A7104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D023E5">
              <w:rPr>
                <w:rFonts w:asciiTheme="majorHAnsi" w:hAnsiTheme="majorHAnsi" w:cstheme="majorHAnsi"/>
                <w:color w:val="0070C0"/>
                <w:sz w:val="20"/>
                <w:szCs w:val="20"/>
              </w:rPr>
              <w:t>Activo</w:t>
            </w:r>
          </w:p>
        </w:tc>
      </w:tr>
      <w:tr w:rsidR="00A648B5" w:rsidRPr="003B3D68" w:rsidTr="00093654">
        <w:trPr>
          <w:trHeight w:val="402"/>
        </w:trPr>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 xml:space="preserve">Gavilán Villamil Sandra </w:t>
            </w:r>
            <w:r w:rsidR="00093654" w:rsidRPr="003B3D68">
              <w:rPr>
                <w:rFonts w:asciiTheme="majorHAnsi" w:hAnsiTheme="majorHAnsi" w:cstheme="majorHAnsi"/>
                <w:color w:val="767171" w:themeColor="background2" w:themeShade="80"/>
                <w:sz w:val="20"/>
                <w:szCs w:val="20"/>
              </w:rPr>
              <w:t>Mónica</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2021-04-20</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Herrera Martinez Yenny marcela</w:t>
            </w:r>
          </w:p>
        </w:tc>
        <w:tc>
          <w:tcPr>
            <w:tcW w:w="2259" w:type="dxa"/>
          </w:tcPr>
          <w:p w:rsidR="00A648B5" w:rsidRPr="00D023E5"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67171" w:themeColor="background2" w:themeShade="80"/>
                <w:sz w:val="20"/>
                <w:szCs w:val="20"/>
              </w:rPr>
            </w:pPr>
            <w:r w:rsidRPr="00D023E5">
              <w:rPr>
                <w:rFonts w:asciiTheme="majorHAnsi" w:hAnsiTheme="majorHAnsi" w:cstheme="majorHAnsi"/>
                <w:b/>
                <w:color w:val="767171" w:themeColor="background2" w:themeShade="80"/>
                <w:sz w:val="20"/>
                <w:szCs w:val="20"/>
              </w:rPr>
              <w:t>2020-12-18</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A71041">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 xml:space="preserve">Jimenez </w:t>
            </w:r>
            <w:r w:rsidR="00093654" w:rsidRPr="003B3D68">
              <w:rPr>
                <w:rFonts w:asciiTheme="majorHAnsi" w:hAnsiTheme="majorHAnsi" w:cstheme="majorHAnsi"/>
                <w:color w:val="767171" w:themeColor="background2" w:themeShade="80"/>
                <w:sz w:val="20"/>
                <w:szCs w:val="20"/>
              </w:rPr>
              <w:t>Monguí</w:t>
            </w:r>
            <w:r w:rsidRPr="003B3D68">
              <w:rPr>
                <w:rFonts w:asciiTheme="majorHAnsi" w:hAnsiTheme="majorHAnsi" w:cstheme="majorHAnsi"/>
                <w:color w:val="767171" w:themeColor="background2" w:themeShade="80"/>
                <w:sz w:val="20"/>
                <w:szCs w:val="20"/>
              </w:rPr>
              <w:t xml:space="preserve"> Diana Soulangel</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2021-02-06</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Prieto Benavides Claudia Milena</w:t>
            </w:r>
          </w:p>
        </w:tc>
        <w:tc>
          <w:tcPr>
            <w:tcW w:w="2259" w:type="dxa"/>
          </w:tcPr>
          <w:p w:rsidR="00A648B5" w:rsidRPr="00D023E5"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67171" w:themeColor="background2" w:themeShade="80"/>
                <w:sz w:val="20"/>
                <w:szCs w:val="20"/>
              </w:rPr>
            </w:pPr>
            <w:r w:rsidRPr="00D023E5">
              <w:rPr>
                <w:rFonts w:asciiTheme="majorHAnsi" w:hAnsiTheme="majorHAnsi" w:cstheme="majorHAnsi"/>
                <w:b/>
                <w:color w:val="767171" w:themeColor="background2" w:themeShade="80"/>
                <w:sz w:val="20"/>
                <w:szCs w:val="20"/>
              </w:rPr>
              <w:t>2020-12-02</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 xml:space="preserve">Sáenz </w:t>
            </w:r>
            <w:r w:rsidR="00093654" w:rsidRPr="003B3D68">
              <w:rPr>
                <w:rFonts w:asciiTheme="majorHAnsi" w:hAnsiTheme="majorHAnsi" w:cstheme="majorHAnsi"/>
                <w:color w:val="767171" w:themeColor="background2" w:themeShade="80"/>
                <w:sz w:val="20"/>
                <w:szCs w:val="20"/>
              </w:rPr>
              <w:t>Chacón</w:t>
            </w:r>
            <w:r w:rsidRPr="003B3D68">
              <w:rPr>
                <w:rFonts w:asciiTheme="majorHAnsi" w:hAnsiTheme="majorHAnsi" w:cstheme="majorHAnsi"/>
                <w:color w:val="767171" w:themeColor="background2" w:themeShade="80"/>
                <w:sz w:val="20"/>
                <w:szCs w:val="20"/>
              </w:rPr>
              <w:t xml:space="preserve"> Lyda</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2021-09-24</w:t>
            </w:r>
          </w:p>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093654"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Pinzón</w:t>
            </w:r>
            <w:r w:rsidR="00A648B5" w:rsidRPr="003B3D68">
              <w:rPr>
                <w:rFonts w:asciiTheme="majorHAnsi" w:hAnsiTheme="majorHAnsi" w:cstheme="majorHAnsi"/>
                <w:color w:val="767171" w:themeColor="background2" w:themeShade="80"/>
                <w:sz w:val="20"/>
                <w:szCs w:val="20"/>
              </w:rPr>
              <w:t xml:space="preserve"> Garcia José Daniel</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2021-02-23</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D023E5"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67171" w:themeColor="background2" w:themeShade="80"/>
                <w:sz w:val="20"/>
                <w:szCs w:val="20"/>
              </w:rPr>
            </w:pPr>
            <w:r w:rsidRPr="00D023E5">
              <w:rPr>
                <w:rFonts w:asciiTheme="majorHAnsi" w:hAnsiTheme="majorHAnsi" w:cstheme="majorHAnsi"/>
                <w:b/>
                <w:color w:val="767171" w:themeColor="background2" w:themeShade="80"/>
                <w:sz w:val="20"/>
                <w:szCs w:val="20"/>
              </w:rPr>
              <w:t>Siabato Lozano Nohora Constanza</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2021-06-30</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Rodriguez Pena Maria Priscila</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2021-05-22</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648B5"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648B5" w:rsidRPr="003B3D68" w:rsidRDefault="00A648B5" w:rsidP="000A5F49">
            <w:pPr>
              <w:pStyle w:val="Sinespaciado"/>
              <w:rPr>
                <w:rFonts w:asciiTheme="majorHAnsi" w:hAnsiTheme="majorHAnsi" w:cstheme="majorHAnsi"/>
                <w:color w:val="767171" w:themeColor="background2" w:themeShade="80"/>
                <w:sz w:val="20"/>
                <w:szCs w:val="20"/>
              </w:rPr>
            </w:pPr>
          </w:p>
        </w:tc>
        <w:tc>
          <w:tcPr>
            <w:tcW w:w="2249" w:type="dxa"/>
          </w:tcPr>
          <w:p w:rsidR="00A648B5" w:rsidRPr="003B3D68" w:rsidRDefault="00A648B5"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Pedraza Morales Armando</w:t>
            </w:r>
          </w:p>
        </w:tc>
        <w:tc>
          <w:tcPr>
            <w:tcW w:w="2259" w:type="dxa"/>
          </w:tcPr>
          <w:p w:rsidR="00A648B5" w:rsidRPr="003B3D68" w:rsidRDefault="00A648B5"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2021-10-29</w:t>
            </w:r>
          </w:p>
        </w:tc>
        <w:tc>
          <w:tcPr>
            <w:tcW w:w="2284" w:type="dxa"/>
          </w:tcPr>
          <w:p w:rsidR="00A648B5" w:rsidRPr="003B3D68" w:rsidRDefault="00A648B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D023E5">
              <w:rPr>
                <w:rFonts w:asciiTheme="majorHAnsi" w:hAnsiTheme="majorHAnsi" w:cstheme="majorHAnsi"/>
                <w:color w:val="0070C0"/>
                <w:sz w:val="20"/>
                <w:szCs w:val="20"/>
              </w:rPr>
              <w:t>Activo</w:t>
            </w:r>
          </w:p>
        </w:tc>
      </w:tr>
      <w:tr w:rsidR="00093654" w:rsidRPr="003B3D68" w:rsidTr="00093654">
        <w:tc>
          <w:tcPr>
            <w:cnfStyle w:val="001000000000" w:firstRow="0" w:lastRow="0" w:firstColumn="1" w:lastColumn="0" w:oddVBand="0" w:evenVBand="0" w:oddHBand="0" w:evenHBand="0" w:firstRowFirstColumn="0" w:firstRowLastColumn="0" w:lastRowFirstColumn="0" w:lastRowLastColumn="0"/>
            <w:tcW w:w="2270" w:type="dxa"/>
            <w:vMerge w:val="restart"/>
          </w:tcPr>
          <w:p w:rsidR="00093654" w:rsidRPr="003B3D68" w:rsidRDefault="00093654"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Grupo Gestión Administrativa</w:t>
            </w:r>
          </w:p>
        </w:tc>
        <w:tc>
          <w:tcPr>
            <w:tcW w:w="2249" w:type="dxa"/>
          </w:tcPr>
          <w:p w:rsidR="00093654" w:rsidRPr="003B3D68" w:rsidRDefault="00093654"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Muñoz Garcia Paola Andrea</w:t>
            </w:r>
          </w:p>
        </w:tc>
        <w:tc>
          <w:tcPr>
            <w:tcW w:w="2259" w:type="dxa"/>
          </w:tcPr>
          <w:p w:rsidR="00093654" w:rsidRPr="003B3D68" w:rsidRDefault="00093654"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2021-07-30</w:t>
            </w:r>
          </w:p>
        </w:tc>
        <w:tc>
          <w:tcPr>
            <w:tcW w:w="2284" w:type="dxa"/>
          </w:tcPr>
          <w:p w:rsidR="00093654" w:rsidRPr="003B3D68" w:rsidRDefault="00093654"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D023E5">
              <w:rPr>
                <w:rFonts w:asciiTheme="majorHAnsi" w:hAnsiTheme="majorHAnsi" w:cstheme="majorHAnsi"/>
                <w:color w:val="0070C0"/>
                <w:sz w:val="20"/>
                <w:szCs w:val="20"/>
              </w:rPr>
              <w:t>Activo</w:t>
            </w:r>
          </w:p>
        </w:tc>
      </w:tr>
      <w:tr w:rsidR="00093654"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093654" w:rsidRPr="003B3D68" w:rsidRDefault="00093654" w:rsidP="00093654">
            <w:pPr>
              <w:pStyle w:val="Sinespaciado"/>
              <w:jc w:val="center"/>
              <w:rPr>
                <w:rFonts w:asciiTheme="majorHAnsi" w:hAnsiTheme="majorHAnsi" w:cstheme="majorHAnsi"/>
                <w:color w:val="767171" w:themeColor="background2" w:themeShade="80"/>
                <w:sz w:val="20"/>
                <w:szCs w:val="20"/>
              </w:rPr>
            </w:pPr>
          </w:p>
        </w:tc>
        <w:tc>
          <w:tcPr>
            <w:tcW w:w="2249" w:type="dxa"/>
          </w:tcPr>
          <w:p w:rsidR="00093654" w:rsidRPr="003B3D68" w:rsidRDefault="00093654"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Ballen Arias Yurianni Yeraldin</w:t>
            </w:r>
          </w:p>
        </w:tc>
        <w:tc>
          <w:tcPr>
            <w:tcW w:w="2259" w:type="dxa"/>
          </w:tcPr>
          <w:p w:rsidR="00093654" w:rsidRPr="003B3D68" w:rsidRDefault="00093654"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2021-10-08</w:t>
            </w:r>
          </w:p>
        </w:tc>
        <w:tc>
          <w:tcPr>
            <w:tcW w:w="2284" w:type="dxa"/>
          </w:tcPr>
          <w:p w:rsidR="00093654" w:rsidRPr="003B3D68" w:rsidRDefault="00D023E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Pr>
                <w:rFonts w:asciiTheme="majorHAnsi" w:hAnsiTheme="majorHAnsi" w:cstheme="majorHAnsi"/>
                <w:color w:val="0070C0"/>
                <w:sz w:val="20"/>
                <w:szCs w:val="20"/>
              </w:rPr>
              <w:t>Inac</w:t>
            </w:r>
            <w:r w:rsidR="00093654" w:rsidRPr="00DE1F11">
              <w:rPr>
                <w:rFonts w:asciiTheme="majorHAnsi" w:hAnsiTheme="majorHAnsi" w:cstheme="majorHAnsi"/>
                <w:color w:val="0070C0"/>
                <w:sz w:val="20"/>
                <w:szCs w:val="20"/>
              </w:rPr>
              <w:t>tivo</w:t>
            </w:r>
          </w:p>
        </w:tc>
      </w:tr>
      <w:tr w:rsidR="00A71041" w:rsidRPr="003B3D68" w:rsidTr="00E41931">
        <w:trPr>
          <w:trHeight w:val="537"/>
        </w:trPr>
        <w:tc>
          <w:tcPr>
            <w:cnfStyle w:val="001000000000" w:firstRow="0" w:lastRow="0" w:firstColumn="1" w:lastColumn="0" w:oddVBand="0" w:evenVBand="0" w:oddHBand="0" w:evenHBand="0" w:firstRowFirstColumn="0" w:firstRowLastColumn="0" w:lastRowFirstColumn="0" w:lastRowLastColumn="0"/>
            <w:tcW w:w="2270" w:type="dxa"/>
            <w:vMerge w:val="restart"/>
          </w:tcPr>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p>
          <w:p w:rsidR="00A71041" w:rsidRPr="003B3D68" w:rsidRDefault="00A71041" w:rsidP="00093654">
            <w:pPr>
              <w:pStyle w:val="Sinespaciado"/>
              <w:jc w:val="center"/>
              <w:rPr>
                <w:rFonts w:asciiTheme="majorHAnsi" w:hAnsiTheme="majorHAnsi" w:cstheme="majorHAnsi"/>
                <w:b w:val="0"/>
                <w:bCs w:val="0"/>
                <w:color w:val="767171" w:themeColor="background2" w:themeShade="80"/>
                <w:sz w:val="20"/>
                <w:szCs w:val="20"/>
              </w:rPr>
            </w:pPr>
            <w:r w:rsidRPr="003B3D68">
              <w:rPr>
                <w:rFonts w:asciiTheme="majorHAnsi" w:hAnsiTheme="majorHAnsi" w:cstheme="majorHAnsi"/>
                <w:color w:val="767171" w:themeColor="background2" w:themeShade="80"/>
                <w:sz w:val="20"/>
                <w:szCs w:val="20"/>
              </w:rPr>
              <w:t>Secretaria General</w:t>
            </w:r>
          </w:p>
          <w:p w:rsidR="00093654" w:rsidRPr="003B3D68" w:rsidRDefault="00093654" w:rsidP="00093654">
            <w:pPr>
              <w:pStyle w:val="Sinespaciado"/>
              <w:jc w:val="center"/>
              <w:rPr>
                <w:rFonts w:asciiTheme="majorHAnsi" w:hAnsiTheme="majorHAnsi" w:cstheme="majorHAnsi"/>
                <w:b w:val="0"/>
                <w:bCs w:val="0"/>
                <w:color w:val="767171" w:themeColor="background2" w:themeShade="80"/>
                <w:sz w:val="20"/>
                <w:szCs w:val="20"/>
              </w:rPr>
            </w:pPr>
          </w:p>
          <w:p w:rsidR="00A71041" w:rsidRPr="003B3D68" w:rsidRDefault="00093654"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Dirección Jurídica</w:t>
            </w:r>
          </w:p>
        </w:tc>
        <w:tc>
          <w:tcPr>
            <w:tcW w:w="2249" w:type="dxa"/>
          </w:tcPr>
          <w:p w:rsidR="00A71041" w:rsidRPr="003B3D68" w:rsidRDefault="00561697"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Valencia Andrade Juliana</w:t>
            </w:r>
          </w:p>
        </w:tc>
        <w:tc>
          <w:tcPr>
            <w:tcW w:w="2259" w:type="dxa"/>
          </w:tcPr>
          <w:p w:rsidR="00A71041" w:rsidRPr="003B3D68" w:rsidRDefault="00561697"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2021-09-16</w:t>
            </w:r>
          </w:p>
        </w:tc>
        <w:tc>
          <w:tcPr>
            <w:tcW w:w="2284" w:type="dxa"/>
          </w:tcPr>
          <w:p w:rsidR="00A71041" w:rsidRPr="003B3D68" w:rsidRDefault="00A71041"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71041" w:rsidRPr="003B3D68" w:rsidTr="00093654">
        <w:tc>
          <w:tcPr>
            <w:cnfStyle w:val="001000000000" w:firstRow="0" w:lastRow="0" w:firstColumn="1" w:lastColumn="0" w:oddVBand="0" w:evenVBand="0" w:oddHBand="0" w:evenHBand="0" w:firstRowFirstColumn="0" w:firstRowLastColumn="0" w:lastRowFirstColumn="0" w:lastRowLastColumn="0"/>
            <w:tcW w:w="2270" w:type="dxa"/>
            <w:vMerge/>
          </w:tcPr>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p>
        </w:tc>
        <w:tc>
          <w:tcPr>
            <w:tcW w:w="2249" w:type="dxa"/>
          </w:tcPr>
          <w:p w:rsidR="00A71041" w:rsidRPr="003B3D68" w:rsidRDefault="00093654"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Lopez Cortes Armado</w:t>
            </w:r>
          </w:p>
        </w:tc>
        <w:tc>
          <w:tcPr>
            <w:tcW w:w="2259" w:type="dxa"/>
          </w:tcPr>
          <w:p w:rsidR="00A71041" w:rsidRPr="003B3D68" w:rsidRDefault="00093654"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2021-04-02</w:t>
            </w:r>
          </w:p>
        </w:tc>
        <w:tc>
          <w:tcPr>
            <w:tcW w:w="2284" w:type="dxa"/>
          </w:tcPr>
          <w:p w:rsidR="00A71041" w:rsidRPr="003B3D68" w:rsidRDefault="00D023E5"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Ina</w:t>
            </w:r>
            <w:r w:rsidR="00093654" w:rsidRPr="00D023E5">
              <w:rPr>
                <w:rFonts w:asciiTheme="majorHAnsi" w:hAnsiTheme="majorHAnsi" w:cstheme="majorHAnsi"/>
                <w:color w:val="0070C0"/>
                <w:sz w:val="20"/>
                <w:szCs w:val="20"/>
              </w:rPr>
              <w:t>ctivo</w:t>
            </w:r>
          </w:p>
        </w:tc>
      </w:tr>
      <w:tr w:rsidR="00A71041" w:rsidRPr="003B3D68" w:rsidTr="00093654">
        <w:tc>
          <w:tcPr>
            <w:cnfStyle w:val="001000000000" w:firstRow="0" w:lastRow="0" w:firstColumn="1" w:lastColumn="0" w:oddVBand="0" w:evenVBand="0" w:oddHBand="0" w:evenHBand="0" w:firstRowFirstColumn="0" w:firstRowLastColumn="0" w:lastRowFirstColumn="0" w:lastRowLastColumn="0"/>
            <w:tcW w:w="2270" w:type="dxa"/>
          </w:tcPr>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Oficina de Control Interno</w:t>
            </w:r>
          </w:p>
        </w:tc>
        <w:tc>
          <w:tcPr>
            <w:tcW w:w="2249" w:type="dxa"/>
          </w:tcPr>
          <w:p w:rsidR="00A71041" w:rsidRPr="003B3D68" w:rsidRDefault="00A71041"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Gamboa Malagon Esneda</w:t>
            </w:r>
          </w:p>
        </w:tc>
        <w:tc>
          <w:tcPr>
            <w:tcW w:w="2259" w:type="dxa"/>
          </w:tcPr>
          <w:p w:rsidR="00A71041" w:rsidRPr="003B3D68"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w:t>
            </w:r>
            <w:r w:rsidR="00561697" w:rsidRPr="003B3D68">
              <w:rPr>
                <w:rFonts w:asciiTheme="majorHAnsi" w:hAnsiTheme="majorHAnsi" w:cstheme="majorHAnsi"/>
                <w:color w:val="767171" w:themeColor="background2" w:themeShade="80"/>
                <w:sz w:val="20"/>
                <w:szCs w:val="20"/>
              </w:rPr>
              <w:t>1</w:t>
            </w:r>
            <w:r w:rsidRPr="003B3D68">
              <w:rPr>
                <w:rFonts w:asciiTheme="majorHAnsi" w:hAnsiTheme="majorHAnsi" w:cstheme="majorHAnsi"/>
                <w:color w:val="767171" w:themeColor="background2" w:themeShade="80"/>
                <w:sz w:val="20"/>
                <w:szCs w:val="20"/>
              </w:rPr>
              <w:t>-</w:t>
            </w:r>
            <w:r w:rsidR="00561697" w:rsidRPr="003B3D68">
              <w:rPr>
                <w:rFonts w:asciiTheme="majorHAnsi" w:hAnsiTheme="majorHAnsi" w:cstheme="majorHAnsi"/>
                <w:color w:val="767171" w:themeColor="background2" w:themeShade="80"/>
                <w:sz w:val="20"/>
                <w:szCs w:val="20"/>
              </w:rPr>
              <w:t>11</w:t>
            </w:r>
            <w:r w:rsidRPr="003B3D68">
              <w:rPr>
                <w:rFonts w:asciiTheme="majorHAnsi" w:hAnsiTheme="majorHAnsi" w:cstheme="majorHAnsi"/>
                <w:color w:val="767171" w:themeColor="background2" w:themeShade="80"/>
                <w:sz w:val="20"/>
                <w:szCs w:val="20"/>
              </w:rPr>
              <w:t>-0</w:t>
            </w:r>
            <w:r w:rsidR="00561697" w:rsidRPr="003B3D68">
              <w:rPr>
                <w:rFonts w:asciiTheme="majorHAnsi" w:hAnsiTheme="majorHAnsi" w:cstheme="majorHAnsi"/>
                <w:color w:val="767171" w:themeColor="background2" w:themeShade="80"/>
                <w:sz w:val="20"/>
                <w:szCs w:val="20"/>
              </w:rPr>
              <w:t>6</w:t>
            </w:r>
          </w:p>
        </w:tc>
        <w:tc>
          <w:tcPr>
            <w:tcW w:w="2284" w:type="dxa"/>
          </w:tcPr>
          <w:p w:rsidR="00A71041" w:rsidRPr="003B3D68" w:rsidRDefault="00A71041"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71041" w:rsidRPr="003B3D68" w:rsidTr="00093654">
        <w:tc>
          <w:tcPr>
            <w:cnfStyle w:val="001000000000" w:firstRow="0" w:lastRow="0" w:firstColumn="1" w:lastColumn="0" w:oddVBand="0" w:evenVBand="0" w:oddHBand="0" w:evenHBand="0" w:firstRowFirstColumn="0" w:firstRowLastColumn="0" w:lastRowFirstColumn="0" w:lastRowLastColumn="0"/>
            <w:tcW w:w="2270" w:type="dxa"/>
          </w:tcPr>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p>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Gestión Humana</w:t>
            </w:r>
          </w:p>
        </w:tc>
        <w:tc>
          <w:tcPr>
            <w:tcW w:w="2249" w:type="dxa"/>
          </w:tcPr>
          <w:p w:rsidR="00A71041" w:rsidRPr="003B3D68" w:rsidRDefault="00561697"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Ospina Moreno Diana Alejandra</w:t>
            </w:r>
          </w:p>
        </w:tc>
        <w:tc>
          <w:tcPr>
            <w:tcW w:w="2259" w:type="dxa"/>
          </w:tcPr>
          <w:p w:rsidR="00A71041" w:rsidRPr="003B3D68" w:rsidRDefault="00561697"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2021-09-17</w:t>
            </w:r>
          </w:p>
        </w:tc>
        <w:tc>
          <w:tcPr>
            <w:tcW w:w="2284" w:type="dxa"/>
          </w:tcPr>
          <w:p w:rsidR="00A71041" w:rsidRPr="003B3D68" w:rsidRDefault="00A71041"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r w:rsidR="00A71041" w:rsidRPr="003B3D68" w:rsidTr="00093654">
        <w:tc>
          <w:tcPr>
            <w:cnfStyle w:val="001000000000" w:firstRow="0" w:lastRow="0" w:firstColumn="1" w:lastColumn="0" w:oddVBand="0" w:evenVBand="0" w:oddHBand="0" w:evenHBand="0" w:firstRowFirstColumn="0" w:firstRowLastColumn="0" w:lastRowFirstColumn="0" w:lastRowLastColumn="0"/>
            <w:tcW w:w="2270" w:type="dxa"/>
          </w:tcPr>
          <w:p w:rsidR="00A71041" w:rsidRPr="003B3D68" w:rsidRDefault="00A71041" w:rsidP="00093654">
            <w:pPr>
              <w:pStyle w:val="Sinespaciado"/>
              <w:jc w:val="center"/>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Oficina Asesora de Planeación</w:t>
            </w:r>
          </w:p>
        </w:tc>
        <w:tc>
          <w:tcPr>
            <w:tcW w:w="2249" w:type="dxa"/>
          </w:tcPr>
          <w:p w:rsidR="00A71041" w:rsidRPr="003B3D68" w:rsidRDefault="00A71041" w:rsidP="000A5F49">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Guzman Rodriguez Carlos Andres</w:t>
            </w:r>
          </w:p>
        </w:tc>
        <w:tc>
          <w:tcPr>
            <w:tcW w:w="2259" w:type="dxa"/>
          </w:tcPr>
          <w:p w:rsidR="00A71041" w:rsidRPr="003B3D68"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p>
          <w:p w:rsidR="00A71041" w:rsidRPr="003B3D68"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2020-</w:t>
            </w:r>
            <w:r w:rsidR="00561697" w:rsidRPr="003B3D68">
              <w:rPr>
                <w:rFonts w:asciiTheme="majorHAnsi" w:hAnsiTheme="majorHAnsi" w:cstheme="majorHAnsi"/>
                <w:color w:val="767171" w:themeColor="background2" w:themeShade="80"/>
                <w:sz w:val="20"/>
                <w:szCs w:val="20"/>
              </w:rPr>
              <w:t>10</w:t>
            </w:r>
            <w:r w:rsidRPr="003B3D68">
              <w:rPr>
                <w:rFonts w:asciiTheme="majorHAnsi" w:hAnsiTheme="majorHAnsi" w:cstheme="majorHAnsi"/>
                <w:color w:val="767171" w:themeColor="background2" w:themeShade="80"/>
                <w:sz w:val="20"/>
                <w:szCs w:val="20"/>
              </w:rPr>
              <w:t>-</w:t>
            </w:r>
            <w:r w:rsidR="00561697" w:rsidRPr="003B3D68">
              <w:rPr>
                <w:rFonts w:asciiTheme="majorHAnsi" w:hAnsiTheme="majorHAnsi" w:cstheme="majorHAnsi"/>
                <w:color w:val="767171" w:themeColor="background2" w:themeShade="80"/>
                <w:sz w:val="20"/>
                <w:szCs w:val="20"/>
              </w:rPr>
              <w:t>1</w:t>
            </w:r>
            <w:r w:rsidRPr="003B3D68">
              <w:rPr>
                <w:rFonts w:asciiTheme="majorHAnsi" w:hAnsiTheme="majorHAnsi" w:cstheme="majorHAnsi"/>
                <w:color w:val="767171" w:themeColor="background2" w:themeShade="80"/>
                <w:sz w:val="20"/>
                <w:szCs w:val="20"/>
              </w:rPr>
              <w:t>8</w:t>
            </w:r>
          </w:p>
        </w:tc>
        <w:tc>
          <w:tcPr>
            <w:tcW w:w="2284" w:type="dxa"/>
          </w:tcPr>
          <w:p w:rsidR="00A71041" w:rsidRPr="003B3D68" w:rsidRDefault="00A71041"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p>
          <w:p w:rsidR="00A71041" w:rsidRPr="003B3D68" w:rsidRDefault="00A71041" w:rsidP="00A710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D023E5">
              <w:rPr>
                <w:rFonts w:asciiTheme="majorHAnsi" w:hAnsiTheme="majorHAnsi" w:cstheme="majorHAnsi"/>
                <w:color w:val="0070C0"/>
                <w:sz w:val="20"/>
                <w:szCs w:val="20"/>
              </w:rPr>
              <w:t>Activo</w:t>
            </w:r>
          </w:p>
        </w:tc>
      </w:tr>
    </w:tbl>
    <w:p w:rsidR="000E0DA9" w:rsidRPr="0049668B" w:rsidRDefault="000E0DA9" w:rsidP="000E0DA9">
      <w:pPr>
        <w:pStyle w:val="Sinespaciado"/>
        <w:rPr>
          <w:i/>
          <w:sz w:val="16"/>
          <w:szCs w:val="16"/>
          <w:lang w:val="es-ES_tradnl"/>
        </w:rPr>
      </w:pPr>
      <w:r w:rsidRPr="0049668B">
        <w:rPr>
          <w:i/>
          <w:sz w:val="16"/>
          <w:szCs w:val="16"/>
          <w:lang w:val="es-ES_tradnl"/>
        </w:rPr>
        <w:t xml:space="preserve">Fuente: </w:t>
      </w:r>
      <w:r>
        <w:rPr>
          <w:i/>
          <w:sz w:val="16"/>
          <w:szCs w:val="16"/>
          <w:lang w:val="es-ES_tradnl"/>
        </w:rPr>
        <w:t>Reporte SIIF – 27-11-2020</w:t>
      </w:r>
    </w:p>
    <w:p w:rsidR="00D67E21" w:rsidRDefault="00A71041" w:rsidP="004F6A9F">
      <w:pPr>
        <w:autoSpaceDE w:val="0"/>
        <w:autoSpaceDN w:val="0"/>
        <w:adjustRightInd w:val="0"/>
        <w:spacing w:before="240" w:after="200" w:line="276" w:lineRule="auto"/>
        <w:jc w:val="both"/>
        <w:rPr>
          <w:rFonts w:ascii="Arial" w:hAnsi="Arial" w:cs="Arial"/>
          <w:color w:val="404040"/>
        </w:rPr>
      </w:pPr>
      <w:r>
        <w:rPr>
          <w:rFonts w:ascii="Arial" w:hAnsi="Arial" w:cs="Arial"/>
          <w:color w:val="404040"/>
        </w:rPr>
        <w:t xml:space="preserve">Teniendo en cuenta el cuadro anterior se observan </w:t>
      </w:r>
      <w:r w:rsidRPr="004D0E9B">
        <w:rPr>
          <w:rFonts w:ascii="Arial" w:hAnsi="Arial" w:cs="Arial"/>
        </w:rPr>
        <w:t>1</w:t>
      </w:r>
      <w:r w:rsidR="00D023E5" w:rsidRPr="004D0E9B">
        <w:rPr>
          <w:rFonts w:ascii="Arial" w:hAnsi="Arial" w:cs="Arial"/>
        </w:rPr>
        <w:t>5</w:t>
      </w:r>
      <w:r w:rsidRPr="004D0E9B">
        <w:rPr>
          <w:rFonts w:ascii="Arial" w:hAnsi="Arial" w:cs="Arial"/>
        </w:rPr>
        <w:t xml:space="preserve"> perfiles de usuarios SIIF activos</w:t>
      </w:r>
      <w:r w:rsidR="00D023E5" w:rsidRPr="004D0E9B">
        <w:rPr>
          <w:rFonts w:ascii="Arial" w:hAnsi="Arial" w:cs="Arial"/>
        </w:rPr>
        <w:t xml:space="preserve"> y 2 inactivos</w:t>
      </w:r>
      <w:r w:rsidRPr="004D0E9B">
        <w:rPr>
          <w:rFonts w:ascii="Arial" w:hAnsi="Arial" w:cs="Arial"/>
        </w:rPr>
        <w:t xml:space="preserve">, cada uno de estos tiene asignados perfiles de </w:t>
      </w:r>
      <w:r w:rsidRPr="00A71041">
        <w:rPr>
          <w:rFonts w:ascii="Arial" w:hAnsi="Arial" w:cs="Arial"/>
          <w:color w:val="404040"/>
        </w:rPr>
        <w:t>acuerdo a la labor que realiza en la Entidad, para lo cual se tiene restricciones automáticas acordes a cada perfil.</w:t>
      </w:r>
    </w:p>
    <w:p w:rsidR="00D023E5" w:rsidRPr="004D0E9B" w:rsidRDefault="00362E87" w:rsidP="004F6A9F">
      <w:pPr>
        <w:autoSpaceDE w:val="0"/>
        <w:autoSpaceDN w:val="0"/>
        <w:adjustRightInd w:val="0"/>
        <w:spacing w:before="240" w:after="200" w:line="276" w:lineRule="auto"/>
        <w:jc w:val="both"/>
        <w:rPr>
          <w:rFonts w:ascii="Arial" w:hAnsi="Arial" w:cs="Arial"/>
        </w:rPr>
      </w:pPr>
      <w:r w:rsidRPr="004D0E9B">
        <w:rPr>
          <w:rFonts w:ascii="Arial" w:hAnsi="Arial" w:cs="Arial"/>
        </w:rPr>
        <w:t>Igualmente, se observa que los perfiles de los usuarios Herrera Martinez Yenny marcela (2020-12-18) y Prieto Benavides Claudia Milena (2020-12-02), están próximos a expirar, así mismo, el perfil de Siabato Lozano Nohora Constanza a</w:t>
      </w:r>
      <w:r w:rsidR="000E0DA9" w:rsidRPr="004D0E9B">
        <w:rPr>
          <w:rFonts w:ascii="Arial" w:hAnsi="Arial" w:cs="Arial"/>
        </w:rPr>
        <w:t>ú</w:t>
      </w:r>
      <w:r w:rsidRPr="004D0E9B">
        <w:rPr>
          <w:rFonts w:ascii="Arial" w:hAnsi="Arial" w:cs="Arial"/>
        </w:rPr>
        <w:t>n se encuentra activo, a pesar que ya no labora en la Entidad. Por lo anterior</w:t>
      </w:r>
      <w:r w:rsidR="000E0DA9" w:rsidRPr="004D0E9B">
        <w:rPr>
          <w:rFonts w:ascii="Arial" w:hAnsi="Arial" w:cs="Arial"/>
        </w:rPr>
        <w:t>,</w:t>
      </w:r>
      <w:r w:rsidRPr="004D0E9B">
        <w:rPr>
          <w:rFonts w:ascii="Arial" w:hAnsi="Arial" w:cs="Arial"/>
        </w:rPr>
        <w:t xml:space="preserve"> es necesario revisar estos perfiles, con el fin de gestionar los que están próximos a vencer y retirar el perfil de la servidora que ya no trabaja en la Entidad.</w:t>
      </w:r>
    </w:p>
    <w:p w:rsidR="004F6A9F" w:rsidRPr="007F6633" w:rsidRDefault="007F6633"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Replicar oportunamente a los usuarios del SIIF Nación, todas las comunicaciones emitidas e informadas por el Administrador del Sistema:</w:t>
      </w:r>
    </w:p>
    <w:p w:rsidR="007F6633" w:rsidRPr="00676C07" w:rsidRDefault="007F6633" w:rsidP="004F6A9F">
      <w:pPr>
        <w:autoSpaceDE w:val="0"/>
        <w:autoSpaceDN w:val="0"/>
        <w:adjustRightInd w:val="0"/>
        <w:spacing w:before="240" w:after="200" w:line="276" w:lineRule="auto"/>
        <w:jc w:val="both"/>
        <w:rPr>
          <w:rFonts w:ascii="Arial" w:hAnsi="Arial" w:cs="Arial"/>
          <w:color w:val="404040"/>
        </w:rPr>
      </w:pPr>
      <w:r>
        <w:rPr>
          <w:rFonts w:ascii="Arial" w:hAnsi="Arial" w:cs="Arial"/>
          <w:color w:val="404040"/>
        </w:rPr>
        <w:t>Se</w:t>
      </w:r>
      <w:r w:rsidRPr="007F6633">
        <w:rPr>
          <w:rFonts w:ascii="Arial" w:hAnsi="Arial" w:cs="Arial"/>
          <w:color w:val="404040"/>
        </w:rPr>
        <w:t xml:space="preserve"> pudo evidenciar que la delegada del coordinador SIIF </w:t>
      </w:r>
      <w:r>
        <w:rPr>
          <w:rFonts w:ascii="Arial" w:hAnsi="Arial" w:cs="Arial"/>
          <w:color w:val="404040"/>
        </w:rPr>
        <w:t>Entidad</w:t>
      </w:r>
      <w:r w:rsidR="00F76D18">
        <w:rPr>
          <w:rFonts w:ascii="Arial" w:hAnsi="Arial" w:cs="Arial"/>
          <w:color w:val="404040"/>
        </w:rPr>
        <w:t>,</w:t>
      </w:r>
      <w:r>
        <w:rPr>
          <w:rFonts w:ascii="Arial" w:hAnsi="Arial" w:cs="Arial"/>
          <w:color w:val="404040"/>
        </w:rPr>
        <w:t xml:space="preserve"> replica al interior de Función Pública</w:t>
      </w:r>
      <w:r w:rsidRPr="007F6633">
        <w:rPr>
          <w:rFonts w:ascii="Arial" w:hAnsi="Arial" w:cs="Arial"/>
          <w:color w:val="404040"/>
        </w:rPr>
        <w:t xml:space="preserve"> mediante correos electrónicos todas las comunicaciones </w:t>
      </w:r>
      <w:r w:rsidRPr="00676C07">
        <w:rPr>
          <w:rFonts w:ascii="Arial" w:hAnsi="Arial" w:cs="Arial"/>
          <w:color w:val="404040"/>
        </w:rPr>
        <w:t>e invitaciones de capacitación recibida del Administrador del Sistema.</w:t>
      </w:r>
    </w:p>
    <w:p w:rsidR="004F6A9F" w:rsidRPr="00E41931" w:rsidRDefault="007F6633" w:rsidP="00E41931">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E41931">
        <w:rPr>
          <w:rFonts w:ascii="Arial" w:hAnsi="Arial" w:cs="Arial"/>
          <w:color w:val="404040"/>
        </w:rPr>
        <w:t>Mantener actualizado al administrador del sistema respecto a las novedades de los usuarios y del funcionario responsable del Sistema:</w:t>
      </w:r>
    </w:p>
    <w:p w:rsidR="007F6633" w:rsidRDefault="007F6633" w:rsidP="007F6633">
      <w:p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Respecto a las novedades de los Usuarios se pudo evidenciar que estas son reportadas al Administrador SIIF Nación, con el lleno de los formatos que existen ya sea para inclusión o modificación de usuarios.</w:t>
      </w:r>
    </w:p>
    <w:p w:rsidR="004F6A9F" w:rsidRDefault="007F6633"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Capacitar a los usuarios nuevos previos a la creación en el aplicativo:</w:t>
      </w:r>
    </w:p>
    <w:p w:rsidR="00E41931" w:rsidRPr="00E41931" w:rsidRDefault="00E41931" w:rsidP="00E41931">
      <w:pPr>
        <w:autoSpaceDE w:val="0"/>
        <w:autoSpaceDN w:val="0"/>
        <w:adjustRightInd w:val="0"/>
        <w:spacing w:before="240" w:after="200" w:line="276" w:lineRule="auto"/>
        <w:jc w:val="both"/>
        <w:rPr>
          <w:rFonts w:ascii="Arial" w:hAnsi="Arial" w:cs="Arial"/>
          <w:color w:val="404040"/>
        </w:rPr>
      </w:pPr>
      <w:r w:rsidRPr="00E41931">
        <w:rPr>
          <w:rFonts w:ascii="Arial" w:hAnsi="Arial" w:cs="Arial"/>
          <w:color w:val="404040"/>
        </w:rPr>
        <w:t xml:space="preserve">Frente a la capacitación básica y orientación generalmente se hace a través de introducción al sistema que hace un servidor del área que conozca el perfil y se aprovechan los cupos asignados por la administración SIIF NACIÓN </w:t>
      </w:r>
      <w:r w:rsidR="00A17917">
        <w:rPr>
          <w:rFonts w:ascii="Arial" w:hAnsi="Arial" w:cs="Arial"/>
          <w:color w:val="404040"/>
        </w:rPr>
        <w:t>para que los servidores participen de las mismas de acuerdo con el tema que cada uno maneje.</w:t>
      </w:r>
    </w:p>
    <w:p w:rsidR="00A17917" w:rsidRDefault="00004A4B" w:rsidP="00A17917">
      <w:pPr>
        <w:autoSpaceDE w:val="0"/>
        <w:autoSpaceDN w:val="0"/>
        <w:adjustRightInd w:val="0"/>
        <w:spacing w:before="240" w:after="200" w:line="276" w:lineRule="auto"/>
        <w:jc w:val="both"/>
        <w:rPr>
          <w:rFonts w:ascii="Arial" w:hAnsi="Arial" w:cs="Arial"/>
          <w:color w:val="404040"/>
        </w:rPr>
      </w:pPr>
      <w:r w:rsidRPr="00544B96">
        <w:rPr>
          <w:rFonts w:ascii="Arial" w:hAnsi="Arial" w:cs="Arial"/>
          <w:color w:val="404040"/>
        </w:rPr>
        <w:t xml:space="preserve">Los servidores del área Financiera y algunos de las </w:t>
      </w:r>
      <w:r w:rsidR="00A56C25">
        <w:rPr>
          <w:rFonts w:ascii="Arial" w:hAnsi="Arial" w:cs="Arial"/>
          <w:color w:val="404040"/>
        </w:rPr>
        <w:t xml:space="preserve">Oficinas </w:t>
      </w:r>
      <w:r w:rsidRPr="00544B96">
        <w:rPr>
          <w:rFonts w:ascii="Arial" w:hAnsi="Arial" w:cs="Arial"/>
          <w:color w:val="404040"/>
        </w:rPr>
        <w:t>de Planeación, Control Interno</w:t>
      </w:r>
      <w:r w:rsidR="00E46B39" w:rsidRPr="00544B96">
        <w:rPr>
          <w:rFonts w:ascii="Arial" w:hAnsi="Arial" w:cs="Arial"/>
          <w:color w:val="404040"/>
        </w:rPr>
        <w:t xml:space="preserve">, </w:t>
      </w:r>
      <w:r w:rsidR="00A17917">
        <w:rPr>
          <w:rFonts w:ascii="Arial" w:hAnsi="Arial" w:cs="Arial"/>
          <w:color w:val="404040"/>
        </w:rPr>
        <w:t xml:space="preserve">Jurídica, </w:t>
      </w:r>
      <w:r w:rsidR="00E46B39" w:rsidRPr="00544B96">
        <w:rPr>
          <w:rFonts w:ascii="Arial" w:hAnsi="Arial" w:cs="Arial"/>
          <w:color w:val="404040"/>
        </w:rPr>
        <w:t>Gestión Humana</w:t>
      </w:r>
      <w:r w:rsidRPr="00544B96">
        <w:rPr>
          <w:rFonts w:ascii="Arial" w:hAnsi="Arial" w:cs="Arial"/>
          <w:color w:val="404040"/>
        </w:rPr>
        <w:t xml:space="preserve"> y Gestión Administrativa</w:t>
      </w:r>
      <w:r w:rsidR="00A56C25">
        <w:rPr>
          <w:rFonts w:ascii="Arial" w:hAnsi="Arial" w:cs="Arial"/>
          <w:color w:val="404040"/>
        </w:rPr>
        <w:t>,</w:t>
      </w:r>
      <w:r w:rsidRPr="00544B96">
        <w:rPr>
          <w:rFonts w:ascii="Arial" w:hAnsi="Arial" w:cs="Arial"/>
          <w:color w:val="404040"/>
        </w:rPr>
        <w:t xml:space="preserve"> poseen certificado digital para firmar las funcionalidades que cada uno requiere, el cual fue adquirido mediante contrato</w:t>
      </w:r>
      <w:r w:rsidR="00A17917">
        <w:rPr>
          <w:rFonts w:ascii="Arial" w:hAnsi="Arial" w:cs="Arial"/>
          <w:color w:val="404040"/>
        </w:rPr>
        <w:t xml:space="preserve"> No.</w:t>
      </w:r>
      <w:r w:rsidR="00F573C5" w:rsidRPr="00F67175">
        <w:rPr>
          <w:rFonts w:ascii="Arial" w:hAnsi="Arial" w:cs="Arial"/>
          <w:color w:val="404040"/>
        </w:rPr>
        <w:t xml:space="preserve"> 196 de 2019 con la firma Gestión de Seguridad Electrónica - GSE S.A. </w:t>
      </w:r>
      <w:r w:rsidR="00A17917">
        <w:rPr>
          <w:rFonts w:ascii="Arial" w:hAnsi="Arial" w:cs="Arial"/>
          <w:color w:val="404040"/>
        </w:rPr>
        <w:t>Así mismo, se observa que 18 funcionarios poseen toquen</w:t>
      </w:r>
      <w:r w:rsidR="004D1B71">
        <w:rPr>
          <w:rFonts w:ascii="Arial" w:hAnsi="Arial" w:cs="Arial"/>
          <w:color w:val="404040"/>
        </w:rPr>
        <w:t>.</w:t>
      </w:r>
    </w:p>
    <w:p w:rsidR="00004A4B" w:rsidRPr="00164870" w:rsidRDefault="00004A4B" w:rsidP="00A17917">
      <w:pPr>
        <w:autoSpaceDE w:val="0"/>
        <w:autoSpaceDN w:val="0"/>
        <w:adjustRightInd w:val="0"/>
        <w:spacing w:before="240" w:after="200" w:line="276" w:lineRule="auto"/>
        <w:jc w:val="both"/>
        <w:rPr>
          <w:rFonts w:ascii="Arial" w:hAnsi="Arial" w:cs="Arial"/>
          <w:color w:val="404040"/>
        </w:rPr>
      </w:pPr>
      <w:r w:rsidRPr="00164870">
        <w:rPr>
          <w:rFonts w:ascii="Arial" w:hAnsi="Arial" w:cs="Arial"/>
          <w:color w:val="404040"/>
        </w:rPr>
        <w:t>Frente a las medidas de seguridad para el pago a beneficiario final, se registran cuentas bancarias cuando se ha validado documentalmente su existencia (Rut y certificación bancaria). Igualmente se designó un funcionario con perfil Beneficiario Cuenta, quien la autoriza para que surta el proceso de validación.</w:t>
      </w:r>
    </w:p>
    <w:p w:rsidR="00004A4B" w:rsidRDefault="00004A4B" w:rsidP="00164870">
      <w:pPr>
        <w:numPr>
          <w:ilvl w:val="0"/>
          <w:numId w:val="28"/>
        </w:numPr>
        <w:autoSpaceDE w:val="0"/>
        <w:autoSpaceDN w:val="0"/>
        <w:adjustRightInd w:val="0"/>
        <w:spacing w:before="240" w:after="200" w:line="276" w:lineRule="auto"/>
        <w:jc w:val="both"/>
        <w:rPr>
          <w:rFonts w:ascii="Arial" w:hAnsi="Arial" w:cs="Arial"/>
          <w:color w:val="404040"/>
        </w:rPr>
      </w:pPr>
      <w:r w:rsidRPr="00004A4B">
        <w:rPr>
          <w:rFonts w:ascii="Arial" w:hAnsi="Arial" w:cs="Arial"/>
          <w:color w:val="404040"/>
        </w:rPr>
        <w:t>Se evidencia el cumplimiento del procedimiento de registro de pago al beneficiario final establecido en el Reglamento de uso del SIIF Nación (Aprobado en sesión ordinaria del 26 de febrero de 2013, acta No. 16), el cual dispone  que “Generada la orden de pago se imprime y se le informa al beneficiario que el día fijado como fecha de giro/pago recibirá un abono a su cuenta bancaria, el cual puede consultar en el portal de pagos del SIIF Nación, indicándole que una vez recibido el abono en su cuenta dispone de (3) días hábiles para manifestar cualq</w:t>
      </w:r>
      <w:r w:rsidR="00164870">
        <w:rPr>
          <w:rFonts w:ascii="Arial" w:hAnsi="Arial" w:cs="Arial"/>
          <w:color w:val="404040"/>
        </w:rPr>
        <w:t xml:space="preserve">uier inconformidad sobre el paga. </w:t>
      </w:r>
      <w:r w:rsidRPr="00004A4B">
        <w:rPr>
          <w:rFonts w:ascii="Arial" w:hAnsi="Arial" w:cs="Arial"/>
          <w:color w:val="404040"/>
        </w:rPr>
        <w:t>Cuando la orden de pago esté en estado pagado, se verifica con el beneficiario que los recursos fueron recibidos y se debe dejar constancia de ello”.</w:t>
      </w:r>
    </w:p>
    <w:p w:rsidR="00FA0883" w:rsidRPr="00AD2F39" w:rsidRDefault="00674A71" w:rsidP="00674A71">
      <w:pPr>
        <w:pStyle w:val="Prrafodelista"/>
        <w:numPr>
          <w:ilvl w:val="0"/>
          <w:numId w:val="19"/>
        </w:numPr>
        <w:autoSpaceDE w:val="0"/>
        <w:autoSpaceDN w:val="0"/>
        <w:adjustRightInd w:val="0"/>
        <w:jc w:val="both"/>
        <w:rPr>
          <w:rFonts w:ascii="Arial" w:hAnsi="Arial" w:cs="Arial"/>
          <w:b/>
        </w:rPr>
      </w:pPr>
      <w:r w:rsidRPr="00AD2F39">
        <w:rPr>
          <w:rFonts w:ascii="Arial" w:hAnsi="Arial" w:cs="Arial"/>
          <w:b/>
        </w:rPr>
        <w:t>Conciliaciones B</w:t>
      </w:r>
      <w:r w:rsidRPr="002A5FCB">
        <w:rPr>
          <w:rFonts w:ascii="Arial" w:hAnsi="Arial" w:cs="Arial"/>
          <w:b/>
        </w:rPr>
        <w:t>ancarias</w:t>
      </w:r>
    </w:p>
    <w:p w:rsidR="009A3259" w:rsidRPr="009A3259" w:rsidRDefault="009A3259" w:rsidP="00917154">
      <w:pPr>
        <w:pStyle w:val="Default"/>
        <w:spacing w:before="240"/>
        <w:jc w:val="both"/>
        <w:rPr>
          <w:b/>
          <w:color w:val="404040"/>
          <w:lang w:val="es-ES"/>
        </w:rPr>
      </w:pPr>
      <w:r w:rsidRPr="009A3259">
        <w:rPr>
          <w:color w:val="404040"/>
          <w:sz w:val="22"/>
          <w:szCs w:val="22"/>
        </w:rPr>
        <w:t xml:space="preserve">Con corte al mes de </w:t>
      </w:r>
      <w:r>
        <w:rPr>
          <w:color w:val="404040"/>
          <w:sz w:val="22"/>
          <w:szCs w:val="22"/>
        </w:rPr>
        <w:t>octubre</w:t>
      </w:r>
      <w:r w:rsidRPr="009A3259">
        <w:rPr>
          <w:color w:val="404040"/>
          <w:sz w:val="22"/>
          <w:szCs w:val="22"/>
        </w:rPr>
        <w:t xml:space="preserve"> de</w:t>
      </w:r>
      <w:r w:rsidR="00AD2F39">
        <w:rPr>
          <w:color w:val="404040"/>
          <w:sz w:val="22"/>
          <w:szCs w:val="22"/>
        </w:rPr>
        <w:t xml:space="preserve"> la presente vigencia</w:t>
      </w:r>
      <w:r w:rsidRPr="009A3259">
        <w:rPr>
          <w:color w:val="404040"/>
          <w:sz w:val="22"/>
          <w:szCs w:val="22"/>
        </w:rPr>
        <w:t>, se pudo evidenciar la elaboración de las conciliaciones bancarias de los siguientes bancos:</w:t>
      </w:r>
    </w:p>
    <w:p w:rsidR="009A3259" w:rsidRPr="00135A28" w:rsidRDefault="009A3259" w:rsidP="009A3259">
      <w:pPr>
        <w:pStyle w:val="Default"/>
        <w:numPr>
          <w:ilvl w:val="0"/>
          <w:numId w:val="29"/>
        </w:numPr>
        <w:spacing w:before="240"/>
        <w:jc w:val="both"/>
        <w:rPr>
          <w:color w:val="333333"/>
          <w:sz w:val="22"/>
          <w:szCs w:val="22"/>
          <w:lang w:val="es-ES"/>
        </w:rPr>
      </w:pPr>
      <w:r w:rsidRPr="00135A28">
        <w:rPr>
          <w:b/>
          <w:color w:val="333333"/>
          <w:sz w:val="22"/>
          <w:szCs w:val="22"/>
          <w:lang w:val="es-ES"/>
        </w:rPr>
        <w:t>Banco Popular – cuenta corriente 110- 040-03016-5 - Gastos personales:</w:t>
      </w:r>
      <w:r w:rsidRPr="00135A28">
        <w:rPr>
          <w:rStyle w:val="Textoennegrita"/>
          <w:b w:val="0"/>
          <w:bCs w:val="0"/>
          <w:i/>
          <w:color w:val="auto"/>
          <w:sz w:val="22"/>
          <w:szCs w:val="22"/>
        </w:rPr>
        <w:t xml:space="preserve"> </w:t>
      </w:r>
      <w:r w:rsidRPr="00135A28">
        <w:rPr>
          <w:color w:val="333333"/>
          <w:sz w:val="22"/>
          <w:szCs w:val="22"/>
          <w:lang w:val="es-ES"/>
        </w:rPr>
        <w:t>En esta cuenta se manejan los recursos de gastos de personal de la planta global.</w:t>
      </w:r>
    </w:p>
    <w:p w:rsidR="009A3259" w:rsidRPr="00911113" w:rsidRDefault="009A3259" w:rsidP="009A3259">
      <w:pPr>
        <w:pStyle w:val="Default"/>
        <w:numPr>
          <w:ilvl w:val="0"/>
          <w:numId w:val="29"/>
        </w:numPr>
        <w:spacing w:before="240"/>
        <w:jc w:val="both"/>
        <w:rPr>
          <w:color w:val="333333"/>
          <w:sz w:val="22"/>
          <w:szCs w:val="22"/>
          <w:lang w:val="es-ES"/>
        </w:rPr>
      </w:pPr>
      <w:r w:rsidRPr="00135A28">
        <w:rPr>
          <w:b/>
          <w:color w:val="333333"/>
          <w:sz w:val="22"/>
          <w:szCs w:val="22"/>
          <w:lang w:val="es-ES"/>
        </w:rPr>
        <w:t>Banco Popular – cuenta corriente 110-040-03108-0 – Gastos personales</w:t>
      </w:r>
      <w:r w:rsidRPr="00135A28">
        <w:rPr>
          <w:bCs/>
          <w:color w:val="333333"/>
          <w:sz w:val="22"/>
          <w:szCs w:val="22"/>
          <w:lang w:val="es-ES"/>
        </w:rPr>
        <w:t>:</w:t>
      </w:r>
      <w:r w:rsidRPr="00135A28">
        <w:rPr>
          <w:b/>
          <w:color w:val="333333"/>
          <w:sz w:val="22"/>
          <w:szCs w:val="22"/>
          <w:lang w:val="es-ES"/>
        </w:rPr>
        <w:t xml:space="preserve"> </w:t>
      </w:r>
      <w:r w:rsidRPr="00135A28">
        <w:rPr>
          <w:color w:val="333333"/>
          <w:sz w:val="22"/>
          <w:szCs w:val="22"/>
          <w:lang w:val="es-ES"/>
        </w:rPr>
        <w:t>Destinada para el m</w:t>
      </w:r>
      <w:r w:rsidRPr="00911113">
        <w:rPr>
          <w:color w:val="333333"/>
          <w:sz w:val="22"/>
          <w:szCs w:val="22"/>
          <w:lang w:val="es-ES"/>
        </w:rPr>
        <w:t>anejo de recursos de inversión de la planta temporal.</w:t>
      </w:r>
    </w:p>
    <w:p w:rsidR="00911113" w:rsidRPr="008B7C99" w:rsidRDefault="00911113" w:rsidP="00911113">
      <w:pPr>
        <w:pStyle w:val="Default"/>
        <w:numPr>
          <w:ilvl w:val="0"/>
          <w:numId w:val="29"/>
        </w:numPr>
        <w:spacing w:before="240"/>
        <w:jc w:val="both"/>
        <w:rPr>
          <w:b/>
          <w:color w:val="333333"/>
          <w:sz w:val="22"/>
          <w:szCs w:val="22"/>
          <w:lang w:val="es-ES"/>
        </w:rPr>
      </w:pPr>
      <w:r w:rsidRPr="00911113">
        <w:rPr>
          <w:b/>
          <w:color w:val="333333"/>
          <w:sz w:val="22"/>
          <w:szCs w:val="22"/>
          <w:lang w:val="es-ES"/>
        </w:rPr>
        <w:t>Banco BBV</w:t>
      </w:r>
      <w:r w:rsidRPr="00911113">
        <w:rPr>
          <w:color w:val="333333"/>
          <w:sz w:val="22"/>
          <w:szCs w:val="22"/>
          <w:lang w:val="es-ES"/>
        </w:rPr>
        <w:t xml:space="preserve"> – cuenta corriente 1303090100058860</w:t>
      </w:r>
      <w:r w:rsidR="00920736">
        <w:rPr>
          <w:color w:val="333333"/>
          <w:sz w:val="22"/>
          <w:szCs w:val="22"/>
          <w:lang w:val="es-ES"/>
        </w:rPr>
        <w:t xml:space="preserve">: </w:t>
      </w:r>
      <w:r w:rsidR="008B7C99">
        <w:rPr>
          <w:color w:val="333333"/>
          <w:sz w:val="22"/>
          <w:szCs w:val="22"/>
          <w:lang w:val="es-ES"/>
        </w:rPr>
        <w:t xml:space="preserve">En esta cuenta se traspasan los recursos para el pago de impuestos (predial y vehículos), el pago de pensionados </w:t>
      </w:r>
      <w:r w:rsidR="008B7C99" w:rsidRPr="008B7C99">
        <w:rPr>
          <w:b/>
          <w:color w:val="333333"/>
          <w:sz w:val="22"/>
          <w:szCs w:val="22"/>
          <w:lang w:val="es-ES"/>
        </w:rPr>
        <w:t>cuando se pasaban a pagaduría y el pago de sentencias.</w:t>
      </w:r>
    </w:p>
    <w:p w:rsidR="00873B9F" w:rsidRPr="00873B9F" w:rsidRDefault="008B7C99" w:rsidP="00873B9F">
      <w:pPr>
        <w:pStyle w:val="Default"/>
        <w:spacing w:before="240"/>
        <w:jc w:val="both"/>
        <w:rPr>
          <w:color w:val="404040"/>
          <w:sz w:val="22"/>
          <w:szCs w:val="22"/>
        </w:rPr>
      </w:pPr>
      <w:r>
        <w:rPr>
          <w:color w:val="404040"/>
          <w:sz w:val="22"/>
          <w:szCs w:val="22"/>
        </w:rPr>
        <w:t>M</w:t>
      </w:r>
      <w:r w:rsidR="00873B9F" w:rsidRPr="00873B9F">
        <w:rPr>
          <w:color w:val="404040"/>
          <w:sz w:val="22"/>
          <w:szCs w:val="22"/>
        </w:rPr>
        <w:t>ensualmente el Grupo de Gestión Financiera confronta y concilia los saldos de las cuentas bancarias de la Entidad, con los movimientos de los libros auxiliares de bancos y los extractos, a fin de establecer diferencias, si las hay, analizarlas y registrar en la conciliación.</w:t>
      </w:r>
    </w:p>
    <w:p w:rsidR="008B7C99" w:rsidRDefault="00873B9F" w:rsidP="008B7C99">
      <w:pPr>
        <w:pStyle w:val="Default"/>
        <w:spacing w:before="240"/>
        <w:jc w:val="both"/>
        <w:rPr>
          <w:color w:val="404040"/>
          <w:sz w:val="22"/>
          <w:szCs w:val="22"/>
        </w:rPr>
      </w:pPr>
      <w:r w:rsidRPr="00873B9F">
        <w:rPr>
          <w:color w:val="404040"/>
          <w:sz w:val="22"/>
          <w:szCs w:val="22"/>
        </w:rPr>
        <w:t>De acuerdo con las anteriores conciliaciones bancarias,</w:t>
      </w:r>
      <w:r w:rsidR="008B7C99">
        <w:rPr>
          <w:color w:val="404040"/>
          <w:sz w:val="22"/>
          <w:szCs w:val="22"/>
        </w:rPr>
        <w:t xml:space="preserve"> se pudo evidenciar que las mismas se encuentran en</w:t>
      </w:r>
      <w:r w:rsidR="00814BAA">
        <w:rPr>
          <w:color w:val="404040"/>
          <w:sz w:val="22"/>
          <w:szCs w:val="22"/>
        </w:rPr>
        <w:t xml:space="preserve"> saldos</w:t>
      </w:r>
      <w:r w:rsidR="008B7C99">
        <w:rPr>
          <w:color w:val="404040"/>
          <w:sz w:val="22"/>
          <w:szCs w:val="22"/>
        </w:rPr>
        <w:t xml:space="preserve"> ceros al mes de 0ctubre de 2020.</w:t>
      </w:r>
    </w:p>
    <w:p w:rsidR="008542A2" w:rsidRPr="007F5762" w:rsidRDefault="008542A2" w:rsidP="008B7C99">
      <w:pPr>
        <w:pStyle w:val="Default"/>
        <w:spacing w:before="240"/>
        <w:jc w:val="both"/>
        <w:rPr>
          <w:b/>
          <w:color w:val="auto"/>
        </w:rPr>
      </w:pPr>
      <w:r w:rsidRPr="007F5762">
        <w:rPr>
          <w:b/>
          <w:color w:val="auto"/>
        </w:rPr>
        <w:t>Conciliaciones con otras áreas</w:t>
      </w:r>
    </w:p>
    <w:p w:rsidR="002E6581" w:rsidRPr="008542A2" w:rsidRDefault="002E6581" w:rsidP="002E6581">
      <w:pPr>
        <w:pStyle w:val="Prrafodelista"/>
        <w:autoSpaceDE w:val="0"/>
        <w:autoSpaceDN w:val="0"/>
        <w:adjustRightInd w:val="0"/>
        <w:jc w:val="both"/>
        <w:rPr>
          <w:rFonts w:ascii="Arial" w:hAnsi="Arial" w:cs="Arial"/>
          <w:b/>
          <w:color w:val="404040"/>
        </w:rPr>
      </w:pPr>
    </w:p>
    <w:p w:rsidR="00873B9F" w:rsidRDefault="008542A2" w:rsidP="00135A28">
      <w:pPr>
        <w:autoSpaceDE w:val="0"/>
        <w:autoSpaceDN w:val="0"/>
        <w:adjustRightInd w:val="0"/>
        <w:jc w:val="both"/>
        <w:rPr>
          <w:rFonts w:ascii="Arial" w:hAnsi="Arial" w:cs="Arial"/>
          <w:color w:val="404040"/>
        </w:rPr>
      </w:pPr>
      <w:r>
        <w:rPr>
          <w:rFonts w:ascii="Arial" w:hAnsi="Arial" w:cs="Arial"/>
          <w:color w:val="404040"/>
        </w:rPr>
        <w:t xml:space="preserve">La política de operación del subproceso de Gestión Financiera establece: </w:t>
      </w:r>
      <w:r w:rsidRPr="00135A28">
        <w:rPr>
          <w:rFonts w:ascii="Arial" w:hAnsi="Arial" w:cs="Arial"/>
          <w:color w:val="404040"/>
        </w:rPr>
        <w:t>“Los</w:t>
      </w:r>
      <w:r w:rsidR="00135A28" w:rsidRPr="00135A28">
        <w:rPr>
          <w:rFonts w:ascii="Arial" w:hAnsi="Arial" w:cs="Arial"/>
          <w:color w:val="404040"/>
        </w:rPr>
        <w:t xml:space="preserve"> responsables de la contabilidad, del Grupo de Gestión Financiera, concilian sus saldos contables con áreas de Función Pública, tales como el Grupo de Gestión Humana, el Grupo de Gestión Administrativa, Grupo de Defensa Judicial, entre otras; con el propósito de comparar la información registrada en el Sistema de Información Financiero – SIIF NACIÓN y los datos existentes en las diferentes dependencias generadoras de los hechos, efectuando los ajustes contables resultado de la conciliación</w:t>
      </w:r>
      <w:r w:rsidR="00164870">
        <w:rPr>
          <w:rFonts w:ascii="Arial" w:hAnsi="Arial" w:cs="Arial"/>
          <w:color w:val="404040"/>
        </w:rPr>
        <w:t xml:space="preserve">”. </w:t>
      </w:r>
    </w:p>
    <w:p w:rsidR="00164870" w:rsidRPr="00135A28" w:rsidRDefault="00164870" w:rsidP="00135A28">
      <w:pPr>
        <w:autoSpaceDE w:val="0"/>
        <w:autoSpaceDN w:val="0"/>
        <w:adjustRightInd w:val="0"/>
        <w:jc w:val="both"/>
        <w:rPr>
          <w:rFonts w:ascii="Arial" w:hAnsi="Arial" w:cs="Arial"/>
          <w:color w:val="404040"/>
        </w:rPr>
      </w:pPr>
    </w:p>
    <w:p w:rsidR="009712F5" w:rsidRDefault="00135A28" w:rsidP="00135A28">
      <w:pPr>
        <w:autoSpaceDE w:val="0"/>
        <w:autoSpaceDN w:val="0"/>
        <w:adjustRightInd w:val="0"/>
        <w:jc w:val="both"/>
        <w:rPr>
          <w:rFonts w:ascii="Arial" w:hAnsi="Arial" w:cs="Arial"/>
          <w:color w:val="404040"/>
        </w:rPr>
      </w:pPr>
      <w:r w:rsidRPr="00135A28">
        <w:rPr>
          <w:rFonts w:ascii="Arial" w:hAnsi="Arial" w:cs="Arial"/>
          <w:color w:val="404040"/>
        </w:rPr>
        <w:t xml:space="preserve">La conciliación mensual se efectúa </w:t>
      </w:r>
      <w:r w:rsidR="00463EE0">
        <w:rPr>
          <w:rFonts w:ascii="Arial" w:hAnsi="Arial" w:cs="Arial"/>
          <w:color w:val="404040"/>
        </w:rPr>
        <w:t>teniendo en cuenta</w:t>
      </w:r>
      <w:r w:rsidRPr="00135A28">
        <w:rPr>
          <w:rFonts w:ascii="Arial" w:hAnsi="Arial" w:cs="Arial"/>
          <w:color w:val="404040"/>
        </w:rPr>
        <w:t xml:space="preserve"> la circular interna N°007 de 2016, dentro de los plazos establecidos</w:t>
      </w:r>
      <w:r w:rsidR="00463EE0">
        <w:rPr>
          <w:rFonts w:ascii="Arial" w:hAnsi="Arial" w:cs="Arial"/>
          <w:color w:val="404040"/>
        </w:rPr>
        <w:t xml:space="preserve">, la cual se </w:t>
      </w:r>
      <w:r w:rsidRPr="00135A28">
        <w:rPr>
          <w:rFonts w:ascii="Arial" w:hAnsi="Arial" w:cs="Arial"/>
          <w:color w:val="404040"/>
        </w:rPr>
        <w:t>archiva digitalmente en el repositorio oficial de documentos</w:t>
      </w:r>
      <w:r w:rsidR="00463EE0">
        <w:rPr>
          <w:rFonts w:ascii="Arial" w:hAnsi="Arial" w:cs="Arial"/>
          <w:color w:val="404040"/>
        </w:rPr>
        <w:t>. A continuación</w:t>
      </w:r>
      <w:r w:rsidR="002E6581">
        <w:rPr>
          <w:rFonts w:ascii="Arial" w:hAnsi="Arial" w:cs="Arial"/>
          <w:color w:val="404040"/>
        </w:rPr>
        <w:t>,</w:t>
      </w:r>
      <w:r w:rsidR="00463EE0">
        <w:rPr>
          <w:rFonts w:ascii="Arial" w:hAnsi="Arial" w:cs="Arial"/>
          <w:color w:val="404040"/>
        </w:rPr>
        <w:t xml:space="preserve"> se reporta el estado de las conciliaciones con las respectivas áreas, al mes de octubre de </w:t>
      </w:r>
      <w:r w:rsidR="00463EE0" w:rsidRPr="00814BAA">
        <w:rPr>
          <w:rFonts w:ascii="Arial" w:hAnsi="Arial" w:cs="Arial"/>
        </w:rPr>
        <w:t>20</w:t>
      </w:r>
      <w:r w:rsidR="00814BAA" w:rsidRPr="00814BAA">
        <w:rPr>
          <w:rFonts w:ascii="Arial" w:hAnsi="Arial" w:cs="Arial"/>
        </w:rPr>
        <w:t>20</w:t>
      </w:r>
      <w:r w:rsidR="00463EE0" w:rsidRPr="00814BAA">
        <w:rPr>
          <w:rFonts w:ascii="Arial" w:hAnsi="Arial" w:cs="Arial"/>
        </w:rPr>
        <w:t xml:space="preserve">: </w:t>
      </w:r>
    </w:p>
    <w:p w:rsidR="00463EE0" w:rsidRDefault="00463EE0" w:rsidP="00135A28">
      <w:pPr>
        <w:autoSpaceDE w:val="0"/>
        <w:autoSpaceDN w:val="0"/>
        <w:adjustRightInd w:val="0"/>
        <w:jc w:val="both"/>
        <w:rPr>
          <w:rFonts w:ascii="Arial" w:hAnsi="Arial" w:cs="Arial"/>
          <w:color w:val="404040"/>
        </w:rPr>
      </w:pPr>
    </w:p>
    <w:tbl>
      <w:tblPr>
        <w:tblStyle w:val="Cuadrculaclara-nfasis1"/>
        <w:tblW w:w="0" w:type="auto"/>
        <w:tblLook w:val="04A0" w:firstRow="1" w:lastRow="0" w:firstColumn="1" w:lastColumn="0" w:noHBand="0" w:noVBand="1"/>
      </w:tblPr>
      <w:tblGrid>
        <w:gridCol w:w="2402"/>
        <w:gridCol w:w="3967"/>
        <w:gridCol w:w="2683"/>
      </w:tblGrid>
      <w:tr w:rsidR="00463EE0" w:rsidRPr="003B3D68" w:rsidTr="00D85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rsidR="00463EE0" w:rsidRPr="003B3D68" w:rsidRDefault="00463EE0" w:rsidP="00463EE0">
            <w:pPr>
              <w:autoSpaceDE w:val="0"/>
              <w:autoSpaceDN w:val="0"/>
              <w:adjustRightInd w:val="0"/>
              <w:jc w:val="center"/>
              <w:rPr>
                <w:rFonts w:cstheme="majorHAnsi"/>
                <w:color w:val="595959" w:themeColor="text1" w:themeTint="A6"/>
                <w:sz w:val="20"/>
                <w:szCs w:val="20"/>
              </w:rPr>
            </w:pPr>
            <w:r w:rsidRPr="003B3D68">
              <w:rPr>
                <w:rFonts w:cstheme="majorHAnsi"/>
                <w:color w:val="595959" w:themeColor="text1" w:themeTint="A6"/>
                <w:sz w:val="20"/>
                <w:szCs w:val="20"/>
              </w:rPr>
              <w:t>Dependencia</w:t>
            </w:r>
          </w:p>
        </w:tc>
        <w:tc>
          <w:tcPr>
            <w:tcW w:w="3967" w:type="dxa"/>
          </w:tcPr>
          <w:p w:rsidR="00463EE0" w:rsidRPr="003B3D68" w:rsidRDefault="00D853E7" w:rsidP="00463E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ajorHAnsi"/>
                <w:color w:val="595959" w:themeColor="text1" w:themeTint="A6"/>
                <w:sz w:val="20"/>
                <w:szCs w:val="20"/>
              </w:rPr>
            </w:pPr>
            <w:r w:rsidRPr="003B3D68">
              <w:rPr>
                <w:rFonts w:cstheme="majorHAnsi"/>
                <w:color w:val="595959" w:themeColor="text1" w:themeTint="A6"/>
                <w:sz w:val="20"/>
                <w:szCs w:val="20"/>
              </w:rPr>
              <w:t>Temas conciliados</w:t>
            </w:r>
          </w:p>
        </w:tc>
        <w:tc>
          <w:tcPr>
            <w:tcW w:w="2683" w:type="dxa"/>
          </w:tcPr>
          <w:p w:rsidR="000510E4" w:rsidRPr="003B3D68" w:rsidRDefault="00D853E7" w:rsidP="00463E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ajorHAnsi"/>
                <w:color w:val="595959" w:themeColor="text1" w:themeTint="A6"/>
                <w:sz w:val="20"/>
                <w:szCs w:val="20"/>
              </w:rPr>
            </w:pPr>
            <w:r w:rsidRPr="003B3D68">
              <w:rPr>
                <w:rFonts w:cstheme="majorHAnsi"/>
                <w:color w:val="595959" w:themeColor="text1" w:themeTint="A6"/>
                <w:sz w:val="20"/>
                <w:szCs w:val="20"/>
              </w:rPr>
              <w:t>Diferencia</w:t>
            </w:r>
          </w:p>
        </w:tc>
      </w:tr>
      <w:tr w:rsidR="00463EE0" w:rsidRPr="003B3D68" w:rsidTr="005A2626">
        <w:trPr>
          <w:cnfStyle w:val="000000100000" w:firstRow="0" w:lastRow="0" w:firstColumn="0" w:lastColumn="0" w:oddVBand="0" w:evenVBand="0" w:oddHBand="1" w:evenHBand="0" w:firstRowFirstColumn="0" w:firstRowLastColumn="0" w:lastRowFirstColumn="0" w:lastRowLastColumn="0"/>
          <w:trHeight w:val="2793"/>
        </w:trPr>
        <w:tc>
          <w:tcPr>
            <w:cnfStyle w:val="001000000000" w:firstRow="0" w:lastRow="0" w:firstColumn="1" w:lastColumn="0" w:oddVBand="0" w:evenVBand="0" w:oddHBand="0" w:evenHBand="0" w:firstRowFirstColumn="0" w:firstRowLastColumn="0" w:lastRowFirstColumn="0" w:lastRowLastColumn="0"/>
            <w:tcW w:w="2402" w:type="dxa"/>
          </w:tcPr>
          <w:p w:rsidR="00463EE0" w:rsidRPr="003B3D68" w:rsidRDefault="00463EE0" w:rsidP="007F5762">
            <w:pPr>
              <w:autoSpaceDE w:val="0"/>
              <w:autoSpaceDN w:val="0"/>
              <w:adjustRightInd w:val="0"/>
              <w:jc w:val="center"/>
              <w:rPr>
                <w:rFonts w:cstheme="majorHAnsi"/>
                <w:i/>
                <w:color w:val="404040"/>
                <w:sz w:val="20"/>
                <w:szCs w:val="20"/>
              </w:rPr>
            </w:pPr>
          </w:p>
          <w:p w:rsidR="00463EE0" w:rsidRPr="003B3D68" w:rsidRDefault="00463EE0" w:rsidP="007F5762">
            <w:pPr>
              <w:autoSpaceDE w:val="0"/>
              <w:autoSpaceDN w:val="0"/>
              <w:adjustRightInd w:val="0"/>
              <w:jc w:val="center"/>
              <w:rPr>
                <w:rFonts w:cstheme="majorHAnsi"/>
                <w:i/>
                <w:color w:val="404040"/>
                <w:sz w:val="20"/>
                <w:szCs w:val="20"/>
              </w:rPr>
            </w:pPr>
          </w:p>
          <w:p w:rsidR="00463EE0" w:rsidRPr="003B3D68" w:rsidRDefault="00463EE0" w:rsidP="007F5762">
            <w:pPr>
              <w:autoSpaceDE w:val="0"/>
              <w:autoSpaceDN w:val="0"/>
              <w:adjustRightInd w:val="0"/>
              <w:jc w:val="center"/>
              <w:rPr>
                <w:rFonts w:cstheme="majorHAnsi"/>
                <w:i/>
                <w:color w:val="404040"/>
                <w:sz w:val="20"/>
                <w:szCs w:val="20"/>
              </w:rPr>
            </w:pPr>
          </w:p>
          <w:p w:rsidR="007F5762" w:rsidRPr="003B3D68" w:rsidRDefault="007F5762" w:rsidP="007F5762">
            <w:pPr>
              <w:autoSpaceDE w:val="0"/>
              <w:autoSpaceDN w:val="0"/>
              <w:adjustRightInd w:val="0"/>
              <w:jc w:val="center"/>
              <w:rPr>
                <w:rFonts w:cstheme="majorHAnsi"/>
                <w:b w:val="0"/>
                <w:bCs w:val="0"/>
                <w:i/>
                <w:color w:val="404040"/>
                <w:sz w:val="20"/>
                <w:szCs w:val="20"/>
              </w:rPr>
            </w:pPr>
          </w:p>
          <w:p w:rsidR="007F5762" w:rsidRPr="003B3D68" w:rsidRDefault="007F5762" w:rsidP="007F5762">
            <w:pPr>
              <w:autoSpaceDE w:val="0"/>
              <w:autoSpaceDN w:val="0"/>
              <w:adjustRightInd w:val="0"/>
              <w:jc w:val="center"/>
              <w:rPr>
                <w:rFonts w:cstheme="majorHAnsi"/>
                <w:b w:val="0"/>
                <w:bCs w:val="0"/>
                <w:i/>
                <w:color w:val="404040"/>
                <w:sz w:val="20"/>
                <w:szCs w:val="20"/>
              </w:rPr>
            </w:pPr>
          </w:p>
          <w:p w:rsidR="007F5762" w:rsidRPr="003B3D68" w:rsidRDefault="007F5762" w:rsidP="007F5762">
            <w:pPr>
              <w:autoSpaceDE w:val="0"/>
              <w:autoSpaceDN w:val="0"/>
              <w:adjustRightInd w:val="0"/>
              <w:jc w:val="center"/>
              <w:rPr>
                <w:rFonts w:cstheme="majorHAnsi"/>
                <w:b w:val="0"/>
                <w:bCs w:val="0"/>
                <w:i/>
                <w:color w:val="404040"/>
                <w:sz w:val="20"/>
                <w:szCs w:val="20"/>
              </w:rPr>
            </w:pPr>
          </w:p>
          <w:p w:rsidR="00463EE0" w:rsidRPr="003B3D68" w:rsidRDefault="00463EE0" w:rsidP="007F5762">
            <w:pPr>
              <w:autoSpaceDE w:val="0"/>
              <w:autoSpaceDN w:val="0"/>
              <w:adjustRightInd w:val="0"/>
              <w:jc w:val="center"/>
              <w:rPr>
                <w:rFonts w:cstheme="majorHAnsi"/>
                <w:i/>
                <w:color w:val="404040"/>
                <w:sz w:val="20"/>
                <w:szCs w:val="20"/>
              </w:rPr>
            </w:pPr>
            <w:r w:rsidRPr="003B3D68">
              <w:rPr>
                <w:rFonts w:cstheme="majorHAnsi"/>
                <w:i/>
                <w:color w:val="404040"/>
                <w:sz w:val="20"/>
                <w:szCs w:val="20"/>
              </w:rPr>
              <w:t>Almacén General</w:t>
            </w:r>
          </w:p>
        </w:tc>
        <w:tc>
          <w:tcPr>
            <w:tcW w:w="3967" w:type="dxa"/>
          </w:tcPr>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Se conciliaron los siguientes activos fijos e intangibles:</w:t>
            </w:r>
          </w:p>
          <w:p w:rsidR="00463EE0"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Terrenos</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Bienes muebles en bodega</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Edificaciones</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Maquinaria y equipo</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Equipo médico y científico</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Muebles, enseres y equipo de oficina</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Equipo de comunicaciones y computación</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Equipo de tracción, transporte y elevación</w:t>
            </w:r>
          </w:p>
          <w:p w:rsidR="00D853E7" w:rsidRPr="003B3D68" w:rsidRDefault="00D853E7" w:rsidP="00D853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Equipo de comedor, cocina y despensa</w:t>
            </w:r>
          </w:p>
          <w:p w:rsidR="00463EE0" w:rsidRPr="003B3D68" w:rsidRDefault="005A2626" w:rsidP="005A262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Derechos, licencias y softwares</w:t>
            </w:r>
          </w:p>
        </w:tc>
        <w:tc>
          <w:tcPr>
            <w:tcW w:w="2683" w:type="dxa"/>
          </w:tcPr>
          <w:p w:rsidR="00463EE0" w:rsidRPr="003B3D68" w:rsidRDefault="005A2626" w:rsidP="00463E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No reporta diferencia</w:t>
            </w:r>
          </w:p>
        </w:tc>
      </w:tr>
      <w:tr w:rsidR="00463EE0" w:rsidRPr="003B3D68" w:rsidTr="00D85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rsidR="007F5762" w:rsidRPr="003B3D68" w:rsidRDefault="007F5762" w:rsidP="007F5762">
            <w:pPr>
              <w:autoSpaceDE w:val="0"/>
              <w:autoSpaceDN w:val="0"/>
              <w:adjustRightInd w:val="0"/>
              <w:jc w:val="center"/>
              <w:rPr>
                <w:rFonts w:cstheme="majorHAnsi"/>
                <w:b w:val="0"/>
                <w:bCs w:val="0"/>
                <w:i/>
                <w:color w:val="404040"/>
                <w:sz w:val="20"/>
                <w:szCs w:val="20"/>
              </w:rPr>
            </w:pPr>
          </w:p>
          <w:p w:rsidR="00463EE0" w:rsidRPr="003B3D68" w:rsidRDefault="00DF2876" w:rsidP="007F5762">
            <w:pPr>
              <w:autoSpaceDE w:val="0"/>
              <w:autoSpaceDN w:val="0"/>
              <w:adjustRightInd w:val="0"/>
              <w:jc w:val="center"/>
              <w:rPr>
                <w:rFonts w:cstheme="majorHAnsi"/>
                <w:i/>
                <w:color w:val="404040"/>
                <w:sz w:val="20"/>
                <w:szCs w:val="20"/>
              </w:rPr>
            </w:pPr>
            <w:r w:rsidRPr="003B3D68">
              <w:rPr>
                <w:rFonts w:cstheme="majorHAnsi"/>
                <w:i/>
                <w:color w:val="404040"/>
                <w:sz w:val="20"/>
                <w:szCs w:val="20"/>
              </w:rPr>
              <w:t>Dirección Jurídica (demandas)</w:t>
            </w:r>
          </w:p>
          <w:p w:rsidR="000510E4" w:rsidRPr="003B3D68" w:rsidRDefault="000510E4" w:rsidP="007F5762">
            <w:pPr>
              <w:autoSpaceDE w:val="0"/>
              <w:autoSpaceDN w:val="0"/>
              <w:adjustRightInd w:val="0"/>
              <w:jc w:val="center"/>
              <w:rPr>
                <w:rFonts w:cstheme="majorHAnsi"/>
                <w:i/>
                <w:color w:val="404040"/>
                <w:sz w:val="20"/>
                <w:szCs w:val="20"/>
              </w:rPr>
            </w:pPr>
          </w:p>
        </w:tc>
        <w:tc>
          <w:tcPr>
            <w:tcW w:w="3967" w:type="dxa"/>
          </w:tcPr>
          <w:p w:rsidR="00463EE0" w:rsidRPr="003B3D68" w:rsidRDefault="005A2626" w:rsidP="005A262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Litigios y demandas administrativas</w:t>
            </w:r>
          </w:p>
          <w:p w:rsidR="005A2626" w:rsidRPr="003B3D68" w:rsidRDefault="005A2626" w:rsidP="005A262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Litigios y demandas laborales</w:t>
            </w:r>
          </w:p>
          <w:p w:rsidR="005A2626" w:rsidRPr="003B3D68" w:rsidRDefault="005A2626" w:rsidP="005A2626">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Litigios y mecanismos alternativos de solución de conflictos administrativos y laborales</w:t>
            </w:r>
          </w:p>
        </w:tc>
        <w:tc>
          <w:tcPr>
            <w:tcW w:w="2683" w:type="dxa"/>
          </w:tcPr>
          <w:p w:rsidR="00463EE0" w:rsidRPr="003B3D68" w:rsidRDefault="005A2626" w:rsidP="00135A2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No reporta diferencia</w:t>
            </w:r>
          </w:p>
        </w:tc>
      </w:tr>
      <w:tr w:rsidR="001A7232" w:rsidRPr="003B3D68" w:rsidTr="00D85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vMerge w:val="restart"/>
          </w:tcPr>
          <w:p w:rsidR="001A7232" w:rsidRPr="003B3D68" w:rsidRDefault="001A7232" w:rsidP="007F5762">
            <w:pPr>
              <w:autoSpaceDE w:val="0"/>
              <w:autoSpaceDN w:val="0"/>
              <w:adjustRightInd w:val="0"/>
              <w:jc w:val="center"/>
              <w:rPr>
                <w:rFonts w:cstheme="majorHAnsi"/>
                <w:i/>
                <w:color w:val="404040"/>
                <w:sz w:val="20"/>
                <w:szCs w:val="20"/>
              </w:rPr>
            </w:pPr>
            <w:r w:rsidRPr="003B3D68">
              <w:rPr>
                <w:rFonts w:cstheme="majorHAnsi"/>
                <w:i/>
                <w:color w:val="404040"/>
                <w:sz w:val="20"/>
                <w:szCs w:val="20"/>
              </w:rPr>
              <w:t>Gestión Humana</w:t>
            </w:r>
          </w:p>
          <w:p w:rsidR="001A7232" w:rsidRPr="003B3D68" w:rsidRDefault="001A7232" w:rsidP="007F5762">
            <w:pPr>
              <w:autoSpaceDE w:val="0"/>
              <w:autoSpaceDN w:val="0"/>
              <w:adjustRightInd w:val="0"/>
              <w:jc w:val="center"/>
              <w:rPr>
                <w:rFonts w:cstheme="majorHAnsi"/>
                <w:b w:val="0"/>
                <w:bCs w:val="0"/>
                <w:i/>
                <w:color w:val="404040"/>
                <w:sz w:val="20"/>
                <w:szCs w:val="20"/>
              </w:rPr>
            </w:pPr>
          </w:p>
          <w:p w:rsidR="001A7232" w:rsidRPr="003B3D68" w:rsidRDefault="001A7232" w:rsidP="007F5762">
            <w:pPr>
              <w:autoSpaceDE w:val="0"/>
              <w:autoSpaceDN w:val="0"/>
              <w:adjustRightInd w:val="0"/>
              <w:jc w:val="center"/>
              <w:rPr>
                <w:rFonts w:cstheme="majorHAnsi"/>
                <w:b w:val="0"/>
                <w:bCs w:val="0"/>
                <w:i/>
                <w:color w:val="404040"/>
                <w:sz w:val="20"/>
                <w:szCs w:val="20"/>
              </w:rPr>
            </w:pPr>
            <w:r w:rsidRPr="003B3D68">
              <w:rPr>
                <w:rFonts w:cstheme="majorHAnsi"/>
                <w:i/>
                <w:color w:val="404040"/>
                <w:sz w:val="20"/>
                <w:szCs w:val="20"/>
              </w:rPr>
              <w:t>(ICETEX)</w:t>
            </w: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r w:rsidRPr="003B3D68">
              <w:rPr>
                <w:rFonts w:cstheme="majorHAnsi"/>
                <w:i/>
                <w:color w:val="404040"/>
                <w:sz w:val="20"/>
                <w:szCs w:val="20"/>
              </w:rPr>
              <w:t>(Incapacidades)</w:t>
            </w: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p w:rsidR="001A7232" w:rsidRPr="003B3D68" w:rsidRDefault="001A7232" w:rsidP="007F5762">
            <w:pPr>
              <w:autoSpaceDE w:val="0"/>
              <w:autoSpaceDN w:val="0"/>
              <w:adjustRightInd w:val="0"/>
              <w:jc w:val="center"/>
              <w:rPr>
                <w:rFonts w:cstheme="majorHAnsi"/>
                <w:i/>
                <w:color w:val="404040"/>
                <w:sz w:val="20"/>
                <w:szCs w:val="20"/>
              </w:rPr>
            </w:pPr>
          </w:p>
        </w:tc>
        <w:tc>
          <w:tcPr>
            <w:tcW w:w="3967" w:type="dxa"/>
          </w:tcPr>
          <w:p w:rsidR="001A7232" w:rsidRPr="003B3D68" w:rsidRDefault="001A7232" w:rsidP="005A26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Conciliación reporte grupo de Gestión Humana sobre saldos por capacitación convenio con el ICETEX para apoyo a capacitación funcionarios.</w:t>
            </w:r>
          </w:p>
        </w:tc>
        <w:tc>
          <w:tcPr>
            <w:tcW w:w="2683" w:type="dxa"/>
          </w:tcPr>
          <w:p w:rsidR="001A7232" w:rsidRPr="003B3D68" w:rsidRDefault="001A7232" w:rsidP="006E1E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404040"/>
                <w:sz w:val="20"/>
                <w:szCs w:val="20"/>
              </w:rPr>
            </w:pPr>
            <w:r w:rsidRPr="003B3D68">
              <w:rPr>
                <w:rFonts w:asciiTheme="majorHAnsi" w:hAnsiTheme="majorHAnsi" w:cstheme="majorHAnsi"/>
                <w:i/>
                <w:color w:val="404040"/>
                <w:sz w:val="20"/>
                <w:szCs w:val="20"/>
              </w:rPr>
              <w:t>No reporta diferencia</w:t>
            </w:r>
          </w:p>
        </w:tc>
      </w:tr>
      <w:tr w:rsidR="004D0E9B" w:rsidRPr="004D0E9B" w:rsidTr="00D85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vMerge/>
          </w:tcPr>
          <w:p w:rsidR="001A7232" w:rsidRPr="003B3D68" w:rsidRDefault="001A7232" w:rsidP="00135A28">
            <w:pPr>
              <w:autoSpaceDE w:val="0"/>
              <w:autoSpaceDN w:val="0"/>
              <w:adjustRightInd w:val="0"/>
              <w:jc w:val="both"/>
              <w:rPr>
                <w:rFonts w:cstheme="majorHAnsi"/>
                <w:i/>
                <w:color w:val="404040"/>
                <w:sz w:val="20"/>
                <w:szCs w:val="20"/>
              </w:rPr>
            </w:pPr>
          </w:p>
        </w:tc>
        <w:tc>
          <w:tcPr>
            <w:tcW w:w="3967" w:type="dxa"/>
          </w:tcPr>
          <w:p w:rsidR="001A7232" w:rsidRPr="003B3D68" w:rsidRDefault="001A7232" w:rsidP="001A723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Se concilian saldos de las vigencias 2016,2017,2018,2019 y 2020 de las EPS: compensar, salud total, sanitas, aliansalud, famisanar, sura, café salud, coomeva, medimas, cruz blanca, nueva eps y positiva</w:t>
            </w:r>
          </w:p>
          <w:p w:rsidR="001A7232" w:rsidRPr="003B3D68" w:rsidRDefault="001A7232" w:rsidP="001A723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p>
          <w:p w:rsidR="001A7232" w:rsidRPr="003B3D68" w:rsidRDefault="001A7232" w:rsidP="001A7232">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p>
          <w:p w:rsidR="001A7232" w:rsidRPr="003B3D68" w:rsidRDefault="001A7232" w:rsidP="003A1FA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p>
          <w:p w:rsidR="001A7232" w:rsidRPr="003B3D68" w:rsidRDefault="001A7232" w:rsidP="003A1FA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color w:val="404040"/>
                <w:sz w:val="20"/>
                <w:szCs w:val="20"/>
              </w:rPr>
            </w:pPr>
          </w:p>
        </w:tc>
        <w:tc>
          <w:tcPr>
            <w:tcW w:w="2683" w:type="dxa"/>
          </w:tcPr>
          <w:p w:rsidR="001A7232" w:rsidRPr="004D0E9B" w:rsidRDefault="00F339AD" w:rsidP="00F339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sz w:val="20"/>
                <w:szCs w:val="20"/>
              </w:rPr>
            </w:pPr>
            <w:r w:rsidRPr="004D0E9B">
              <w:rPr>
                <w:rFonts w:asciiTheme="majorHAnsi" w:hAnsiTheme="majorHAnsi" w:cstheme="majorHAnsi"/>
                <w:i/>
                <w:sz w:val="20"/>
                <w:szCs w:val="20"/>
              </w:rPr>
              <w:t>L</w:t>
            </w:r>
            <w:r w:rsidR="001A7232" w:rsidRPr="004D0E9B">
              <w:rPr>
                <w:rFonts w:asciiTheme="majorHAnsi" w:hAnsiTheme="majorHAnsi" w:cstheme="majorHAnsi"/>
                <w:i/>
                <w:sz w:val="20"/>
                <w:szCs w:val="20"/>
              </w:rPr>
              <w:t>a diferencia corresponde a un reintegro pendiente por aplicar por pagaduría de la</w:t>
            </w:r>
          </w:p>
          <w:p w:rsidR="001A7232" w:rsidRPr="004D0E9B" w:rsidRDefault="001A7232" w:rsidP="00F339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sz w:val="20"/>
                <w:szCs w:val="20"/>
              </w:rPr>
            </w:pPr>
            <w:r w:rsidRPr="004D0E9B">
              <w:rPr>
                <w:rFonts w:asciiTheme="majorHAnsi" w:hAnsiTheme="majorHAnsi" w:cstheme="majorHAnsi"/>
                <w:i/>
                <w:sz w:val="20"/>
                <w:szCs w:val="20"/>
              </w:rPr>
              <w:t>incapacidad de una funcionaria por $105.000.</w:t>
            </w:r>
          </w:p>
          <w:p w:rsidR="001A7232" w:rsidRPr="004D0E9B" w:rsidRDefault="00F339AD" w:rsidP="00F339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sz w:val="20"/>
                <w:szCs w:val="20"/>
              </w:rPr>
            </w:pPr>
            <w:r w:rsidRPr="004D0E9B">
              <w:rPr>
                <w:rFonts w:asciiTheme="majorHAnsi" w:hAnsiTheme="majorHAnsi" w:cstheme="majorHAnsi"/>
                <w:i/>
                <w:sz w:val="20"/>
                <w:szCs w:val="20"/>
              </w:rPr>
              <w:t>L</w:t>
            </w:r>
            <w:r w:rsidR="001A7232" w:rsidRPr="004D0E9B">
              <w:rPr>
                <w:rFonts w:asciiTheme="majorHAnsi" w:hAnsiTheme="majorHAnsi" w:cstheme="majorHAnsi"/>
                <w:i/>
                <w:sz w:val="20"/>
                <w:szCs w:val="20"/>
              </w:rPr>
              <w:t>a diferencia corresponde a un reintegro</w:t>
            </w:r>
          </w:p>
          <w:p w:rsidR="001A7232" w:rsidRPr="004D0E9B" w:rsidRDefault="001A7232" w:rsidP="00F339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sz w:val="20"/>
                <w:szCs w:val="20"/>
              </w:rPr>
            </w:pPr>
            <w:r w:rsidRPr="004D0E9B">
              <w:rPr>
                <w:rFonts w:asciiTheme="majorHAnsi" w:hAnsiTheme="majorHAnsi" w:cstheme="majorHAnsi"/>
                <w:i/>
                <w:sz w:val="20"/>
                <w:szCs w:val="20"/>
              </w:rPr>
              <w:t>pendiente por aplicar por pagaduría de la licencia</w:t>
            </w:r>
          </w:p>
          <w:p w:rsidR="001A7232" w:rsidRPr="004D0E9B" w:rsidRDefault="001A7232" w:rsidP="00F339AD">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i/>
                <w:sz w:val="20"/>
                <w:szCs w:val="20"/>
              </w:rPr>
            </w:pPr>
            <w:r w:rsidRPr="004D0E9B">
              <w:rPr>
                <w:rFonts w:asciiTheme="majorHAnsi" w:hAnsiTheme="majorHAnsi" w:cstheme="majorHAnsi"/>
                <w:i/>
                <w:sz w:val="20"/>
                <w:szCs w:val="20"/>
              </w:rPr>
              <w:t xml:space="preserve">de maternidad de una funcionaria, la cual se </w:t>
            </w:r>
            <w:r w:rsidR="002739B7" w:rsidRPr="004D0E9B">
              <w:rPr>
                <w:rFonts w:asciiTheme="majorHAnsi" w:hAnsiTheme="majorHAnsi" w:cstheme="majorHAnsi"/>
                <w:i/>
                <w:sz w:val="20"/>
                <w:szCs w:val="20"/>
              </w:rPr>
              <w:t>aplicará</w:t>
            </w:r>
            <w:r w:rsidRPr="004D0E9B">
              <w:rPr>
                <w:rFonts w:asciiTheme="majorHAnsi" w:hAnsiTheme="majorHAnsi" w:cstheme="majorHAnsi"/>
                <w:i/>
                <w:sz w:val="20"/>
                <w:szCs w:val="20"/>
              </w:rPr>
              <w:t xml:space="preserve"> en noviembre</w:t>
            </w:r>
            <w:r w:rsidR="00F339AD" w:rsidRPr="004D0E9B">
              <w:rPr>
                <w:rFonts w:asciiTheme="majorHAnsi" w:hAnsiTheme="majorHAnsi" w:cstheme="majorHAnsi"/>
                <w:i/>
                <w:sz w:val="20"/>
                <w:szCs w:val="20"/>
              </w:rPr>
              <w:t xml:space="preserve"> por $3.328.330</w:t>
            </w:r>
          </w:p>
        </w:tc>
      </w:tr>
      <w:tr w:rsidR="00844B8D" w:rsidRPr="003B3D68" w:rsidTr="00D853E7">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402" w:type="dxa"/>
          </w:tcPr>
          <w:p w:rsidR="00844B8D" w:rsidRPr="003B3D68" w:rsidRDefault="00844B8D" w:rsidP="007F5762">
            <w:pPr>
              <w:autoSpaceDE w:val="0"/>
              <w:autoSpaceDN w:val="0"/>
              <w:adjustRightInd w:val="0"/>
              <w:jc w:val="center"/>
              <w:rPr>
                <w:rFonts w:cstheme="majorHAnsi"/>
                <w:i/>
                <w:color w:val="404040"/>
                <w:sz w:val="20"/>
                <w:szCs w:val="20"/>
              </w:rPr>
            </w:pPr>
          </w:p>
          <w:p w:rsidR="007F5762" w:rsidRPr="003B3D68" w:rsidRDefault="007F5762" w:rsidP="007F5762">
            <w:pPr>
              <w:autoSpaceDE w:val="0"/>
              <w:autoSpaceDN w:val="0"/>
              <w:adjustRightInd w:val="0"/>
              <w:jc w:val="center"/>
              <w:rPr>
                <w:rFonts w:cstheme="majorHAnsi"/>
                <w:b w:val="0"/>
                <w:bCs w:val="0"/>
                <w:i/>
                <w:color w:val="404040"/>
                <w:sz w:val="20"/>
                <w:szCs w:val="20"/>
              </w:rPr>
            </w:pPr>
          </w:p>
          <w:p w:rsidR="007F5762" w:rsidRPr="003B3D68" w:rsidRDefault="007F5762" w:rsidP="007F5762">
            <w:pPr>
              <w:autoSpaceDE w:val="0"/>
              <w:autoSpaceDN w:val="0"/>
              <w:adjustRightInd w:val="0"/>
              <w:jc w:val="center"/>
              <w:rPr>
                <w:rFonts w:cstheme="majorHAnsi"/>
                <w:b w:val="0"/>
                <w:bCs w:val="0"/>
                <w:i/>
                <w:color w:val="404040"/>
                <w:sz w:val="20"/>
                <w:szCs w:val="20"/>
              </w:rPr>
            </w:pPr>
          </w:p>
          <w:p w:rsidR="00844B8D" w:rsidRPr="003B3D68" w:rsidRDefault="00844B8D" w:rsidP="007F5762">
            <w:pPr>
              <w:autoSpaceDE w:val="0"/>
              <w:autoSpaceDN w:val="0"/>
              <w:adjustRightInd w:val="0"/>
              <w:jc w:val="center"/>
              <w:rPr>
                <w:rFonts w:cstheme="majorHAnsi"/>
                <w:i/>
                <w:color w:val="404040"/>
                <w:sz w:val="20"/>
                <w:szCs w:val="20"/>
              </w:rPr>
            </w:pPr>
            <w:r w:rsidRPr="003B3D68">
              <w:rPr>
                <w:rFonts w:cstheme="majorHAnsi"/>
                <w:i/>
                <w:color w:val="404040"/>
                <w:sz w:val="20"/>
                <w:szCs w:val="20"/>
              </w:rPr>
              <w:t>Control</w:t>
            </w:r>
            <w:r w:rsidR="000510E4" w:rsidRPr="003B3D68">
              <w:rPr>
                <w:rFonts w:cstheme="majorHAnsi"/>
                <w:i/>
                <w:color w:val="404040"/>
                <w:sz w:val="20"/>
                <w:szCs w:val="20"/>
              </w:rPr>
              <w:t xml:space="preserve"> </w:t>
            </w:r>
            <w:r w:rsidRPr="003B3D68">
              <w:rPr>
                <w:rFonts w:cstheme="majorHAnsi"/>
                <w:i/>
                <w:color w:val="404040"/>
                <w:sz w:val="20"/>
                <w:szCs w:val="20"/>
              </w:rPr>
              <w:t>Interno Disciplinario</w:t>
            </w:r>
          </w:p>
          <w:p w:rsidR="00844B8D" w:rsidRPr="003B3D68" w:rsidRDefault="00844B8D" w:rsidP="007F5762">
            <w:pPr>
              <w:autoSpaceDE w:val="0"/>
              <w:autoSpaceDN w:val="0"/>
              <w:adjustRightInd w:val="0"/>
              <w:jc w:val="center"/>
              <w:rPr>
                <w:rFonts w:cstheme="majorHAnsi"/>
                <w:i/>
                <w:color w:val="404040"/>
                <w:sz w:val="20"/>
                <w:szCs w:val="20"/>
              </w:rPr>
            </w:pPr>
          </w:p>
        </w:tc>
        <w:tc>
          <w:tcPr>
            <w:tcW w:w="3967" w:type="dxa"/>
          </w:tcPr>
          <w:p w:rsidR="00844B8D" w:rsidRPr="003B3D68" w:rsidRDefault="002739B7" w:rsidP="002739B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Responsabilidades en proceso:</w:t>
            </w:r>
          </w:p>
          <w:p w:rsidR="002739B7" w:rsidRPr="003B3D68" w:rsidRDefault="002739B7" w:rsidP="002739B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w:t>
            </w:r>
            <w:r w:rsidRPr="003B3D68">
              <w:rPr>
                <w:rFonts w:asciiTheme="majorHAnsi" w:hAnsiTheme="majorHAnsi" w:cstheme="majorHAnsi"/>
                <w:sz w:val="20"/>
                <w:szCs w:val="20"/>
              </w:rPr>
              <w:t xml:space="preserve"> C</w:t>
            </w:r>
            <w:r w:rsidRPr="003B3D68">
              <w:rPr>
                <w:rFonts w:asciiTheme="majorHAnsi" w:hAnsiTheme="majorHAnsi" w:cstheme="majorHAnsi"/>
                <w:i/>
                <w:color w:val="404040"/>
                <w:sz w:val="20"/>
                <w:szCs w:val="20"/>
              </w:rPr>
              <w:t xml:space="preserve">omputador </w:t>
            </w:r>
            <w:r w:rsidR="008446FF" w:rsidRPr="003B3D68">
              <w:rPr>
                <w:rFonts w:asciiTheme="majorHAnsi" w:hAnsiTheme="majorHAnsi" w:cstheme="majorHAnsi"/>
                <w:i/>
                <w:color w:val="404040"/>
                <w:sz w:val="20"/>
                <w:szCs w:val="20"/>
              </w:rPr>
              <w:t>portátil</w:t>
            </w:r>
            <w:r w:rsidRPr="003B3D68">
              <w:rPr>
                <w:rFonts w:asciiTheme="majorHAnsi" w:hAnsiTheme="majorHAnsi" w:cstheme="majorHAnsi"/>
                <w:i/>
                <w:color w:val="404040"/>
                <w:sz w:val="20"/>
                <w:szCs w:val="20"/>
              </w:rPr>
              <w:t xml:space="preserve"> h.p pro-book 4530 s de 15,6 procesador intel ( r ) core por valor de $ 2.745.520</w:t>
            </w:r>
          </w:p>
          <w:p w:rsidR="002739B7" w:rsidRPr="003B3D68" w:rsidRDefault="002739B7" w:rsidP="002739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 xml:space="preserve">*Computador </w:t>
            </w:r>
            <w:r w:rsidR="008446FF" w:rsidRPr="003B3D68">
              <w:rPr>
                <w:rFonts w:asciiTheme="majorHAnsi" w:hAnsiTheme="majorHAnsi" w:cstheme="majorHAnsi"/>
                <w:i/>
                <w:color w:val="404040"/>
                <w:sz w:val="20"/>
                <w:szCs w:val="20"/>
              </w:rPr>
              <w:t>portátil</w:t>
            </w:r>
            <w:r w:rsidRPr="003B3D68">
              <w:rPr>
                <w:rFonts w:asciiTheme="majorHAnsi" w:hAnsiTheme="majorHAnsi" w:cstheme="majorHAnsi"/>
                <w:i/>
                <w:color w:val="404040"/>
                <w:sz w:val="20"/>
                <w:szCs w:val="20"/>
              </w:rPr>
              <w:t xml:space="preserve"> thinkpad t440p lenovo intel core i5 4200m con dos </w:t>
            </w:r>
            <w:r w:rsidR="008446FF" w:rsidRPr="003B3D68">
              <w:rPr>
                <w:rFonts w:asciiTheme="majorHAnsi" w:hAnsiTheme="majorHAnsi" w:cstheme="majorHAnsi"/>
                <w:i/>
                <w:color w:val="404040"/>
                <w:sz w:val="20"/>
                <w:szCs w:val="20"/>
              </w:rPr>
              <w:t>núcleos</w:t>
            </w:r>
            <w:r w:rsidRPr="003B3D68">
              <w:rPr>
                <w:rFonts w:asciiTheme="majorHAnsi" w:hAnsiTheme="majorHAnsi" w:cstheme="majorHAnsi"/>
                <w:i/>
                <w:color w:val="404040"/>
                <w:sz w:val="20"/>
                <w:szCs w:val="20"/>
              </w:rPr>
              <w:t xml:space="preserve"> por valor de $ 3.038.160</w:t>
            </w:r>
          </w:p>
          <w:p w:rsidR="002739B7" w:rsidRPr="003B3D68" w:rsidRDefault="002739B7" w:rsidP="002739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*Amplificador challenger de 160wats baja $1.081.584,53</w:t>
            </w:r>
          </w:p>
        </w:tc>
        <w:tc>
          <w:tcPr>
            <w:tcW w:w="2683" w:type="dxa"/>
          </w:tcPr>
          <w:p w:rsidR="00844B8D" w:rsidRPr="003B3D68" w:rsidRDefault="006173A5" w:rsidP="00844B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404040"/>
                <w:sz w:val="20"/>
                <w:szCs w:val="20"/>
              </w:rPr>
            </w:pPr>
            <w:r w:rsidRPr="003B3D68">
              <w:rPr>
                <w:rFonts w:asciiTheme="majorHAnsi" w:hAnsiTheme="majorHAnsi" w:cstheme="majorHAnsi"/>
                <w:i/>
                <w:color w:val="404040"/>
                <w:sz w:val="20"/>
                <w:szCs w:val="20"/>
              </w:rPr>
              <w:t>No reporta diferencia</w:t>
            </w:r>
          </w:p>
        </w:tc>
      </w:tr>
    </w:tbl>
    <w:p w:rsidR="00873B9F" w:rsidRPr="004D0E9B" w:rsidRDefault="00BF1F3A" w:rsidP="00844B8D">
      <w:pPr>
        <w:pStyle w:val="Sinespaciado"/>
        <w:rPr>
          <w:rFonts w:ascii="Arial" w:hAnsi="Arial" w:cs="Arial"/>
          <w:b/>
          <w:i/>
          <w:sz w:val="14"/>
          <w:szCs w:val="14"/>
          <w:lang w:val="es-ES"/>
        </w:rPr>
      </w:pPr>
      <w:r w:rsidRPr="004D0E9B">
        <w:rPr>
          <w:rFonts w:ascii="Arial" w:hAnsi="Arial" w:cs="Arial"/>
          <w:b/>
          <w:i/>
          <w:sz w:val="14"/>
          <w:szCs w:val="14"/>
          <w:lang w:val="es-ES"/>
        </w:rPr>
        <w:t xml:space="preserve">   </w:t>
      </w:r>
      <w:r w:rsidR="00844B8D" w:rsidRPr="004D0E9B">
        <w:rPr>
          <w:rFonts w:ascii="Arial" w:hAnsi="Arial" w:cs="Arial"/>
          <w:b/>
          <w:i/>
          <w:sz w:val="14"/>
          <w:szCs w:val="14"/>
          <w:lang w:val="es-ES"/>
        </w:rPr>
        <w:t>Fuente: Conciliaciones con áreas – octubre 20</w:t>
      </w:r>
      <w:r w:rsidR="008446FF" w:rsidRPr="004D0E9B">
        <w:rPr>
          <w:rFonts w:ascii="Arial" w:hAnsi="Arial" w:cs="Arial"/>
          <w:b/>
          <w:i/>
          <w:sz w:val="14"/>
          <w:szCs w:val="14"/>
          <w:lang w:val="es-ES"/>
        </w:rPr>
        <w:t>20</w:t>
      </w:r>
    </w:p>
    <w:p w:rsidR="006C5E70" w:rsidRPr="006C5E70" w:rsidRDefault="006C5E70" w:rsidP="00844B8D">
      <w:pPr>
        <w:pStyle w:val="Sinespaciado"/>
        <w:rPr>
          <w:rFonts w:ascii="Arial" w:hAnsi="Arial" w:cs="Arial"/>
          <w:i/>
          <w:sz w:val="14"/>
          <w:szCs w:val="14"/>
          <w:lang w:val="es-ES"/>
        </w:rPr>
      </w:pPr>
    </w:p>
    <w:p w:rsidR="00873B9F" w:rsidRDefault="000510E4" w:rsidP="000510E4">
      <w:pPr>
        <w:pStyle w:val="Prrafodelista"/>
        <w:numPr>
          <w:ilvl w:val="0"/>
          <w:numId w:val="19"/>
        </w:numPr>
        <w:autoSpaceDE w:val="0"/>
        <w:autoSpaceDN w:val="0"/>
        <w:adjustRightInd w:val="0"/>
        <w:jc w:val="both"/>
        <w:rPr>
          <w:rFonts w:ascii="Arial" w:hAnsi="Arial" w:cs="Arial"/>
          <w:b/>
          <w:color w:val="404040"/>
        </w:rPr>
      </w:pPr>
      <w:r w:rsidRPr="000510E4">
        <w:rPr>
          <w:rFonts w:ascii="Arial" w:hAnsi="Arial" w:cs="Arial"/>
          <w:b/>
          <w:color w:val="404040"/>
        </w:rPr>
        <w:t>Cuentas reciprocas</w:t>
      </w:r>
    </w:p>
    <w:p w:rsidR="00ED28C8" w:rsidRPr="00ED28C8" w:rsidRDefault="00ED28C8" w:rsidP="00380A29">
      <w:pPr>
        <w:autoSpaceDE w:val="0"/>
        <w:autoSpaceDN w:val="0"/>
        <w:adjustRightInd w:val="0"/>
        <w:jc w:val="both"/>
        <w:rPr>
          <w:rFonts w:ascii="Arial" w:hAnsi="Arial" w:cs="Arial"/>
          <w:color w:val="000000"/>
        </w:rPr>
      </w:pPr>
    </w:p>
    <w:p w:rsidR="00971883" w:rsidRPr="00E13F3F" w:rsidRDefault="00ED28C8" w:rsidP="00380A29">
      <w:pPr>
        <w:autoSpaceDE w:val="0"/>
        <w:autoSpaceDN w:val="0"/>
        <w:adjustRightInd w:val="0"/>
        <w:jc w:val="both"/>
        <w:rPr>
          <w:rFonts w:ascii="Arial" w:hAnsi="Arial" w:cs="Arial"/>
          <w:color w:val="404040"/>
        </w:rPr>
      </w:pPr>
      <w:r w:rsidRPr="00E13F3F">
        <w:rPr>
          <w:rFonts w:ascii="Arial" w:hAnsi="Arial" w:cs="Arial"/>
          <w:color w:val="404040"/>
        </w:rPr>
        <w:t>Corresponde a transacci</w:t>
      </w:r>
      <w:r w:rsidR="00AF7987" w:rsidRPr="00E13F3F">
        <w:rPr>
          <w:rFonts w:ascii="Arial" w:hAnsi="Arial" w:cs="Arial"/>
          <w:color w:val="404040"/>
        </w:rPr>
        <w:t>o</w:t>
      </w:r>
      <w:r w:rsidRPr="00E13F3F">
        <w:rPr>
          <w:rFonts w:ascii="Arial" w:hAnsi="Arial" w:cs="Arial"/>
          <w:color w:val="404040"/>
        </w:rPr>
        <w:t>n</w:t>
      </w:r>
      <w:r w:rsidR="00AF7987" w:rsidRPr="00E13F3F">
        <w:rPr>
          <w:rFonts w:ascii="Arial" w:hAnsi="Arial" w:cs="Arial"/>
          <w:color w:val="404040"/>
        </w:rPr>
        <w:t>es</w:t>
      </w:r>
      <w:r w:rsidRPr="00E13F3F">
        <w:rPr>
          <w:rFonts w:ascii="Arial" w:hAnsi="Arial" w:cs="Arial"/>
          <w:color w:val="404040"/>
        </w:rPr>
        <w:t xml:space="preserve"> financiera</w:t>
      </w:r>
      <w:r w:rsidR="00AF7987" w:rsidRPr="00E13F3F">
        <w:rPr>
          <w:rFonts w:ascii="Arial" w:hAnsi="Arial" w:cs="Arial"/>
          <w:color w:val="404040"/>
        </w:rPr>
        <w:t>s</w:t>
      </w:r>
      <w:r w:rsidRPr="00E13F3F">
        <w:rPr>
          <w:rFonts w:ascii="Arial" w:hAnsi="Arial" w:cs="Arial"/>
          <w:color w:val="404040"/>
        </w:rPr>
        <w:t xml:space="preserve"> realizada</w:t>
      </w:r>
      <w:r w:rsidR="00AF7987" w:rsidRPr="00E13F3F">
        <w:rPr>
          <w:rFonts w:ascii="Arial" w:hAnsi="Arial" w:cs="Arial"/>
          <w:color w:val="404040"/>
        </w:rPr>
        <w:t>s</w:t>
      </w:r>
      <w:r w:rsidRPr="00E13F3F">
        <w:rPr>
          <w:rFonts w:ascii="Arial" w:hAnsi="Arial" w:cs="Arial"/>
          <w:color w:val="404040"/>
        </w:rPr>
        <w:t xml:space="preserve"> entre diferentes entes públicos por conceptos que pueden estar asociados </w:t>
      </w:r>
      <w:r w:rsidR="00AF7987" w:rsidRPr="00E13F3F">
        <w:rPr>
          <w:rFonts w:ascii="Arial" w:hAnsi="Arial" w:cs="Arial"/>
          <w:color w:val="404040"/>
        </w:rPr>
        <w:t>c</w:t>
      </w:r>
      <w:r w:rsidRPr="00E13F3F">
        <w:rPr>
          <w:rFonts w:ascii="Arial" w:hAnsi="Arial" w:cs="Arial"/>
          <w:color w:val="404040"/>
        </w:rPr>
        <w:t>on activos, pasivos, patrimonio, ingresos, gastos o costos, cualquiera sea el nivel y sector al que pertenezcan.</w:t>
      </w:r>
      <w:r w:rsidR="00AF7987" w:rsidRPr="00E13F3F">
        <w:rPr>
          <w:rFonts w:ascii="Arial" w:hAnsi="Arial" w:cs="Arial"/>
          <w:color w:val="404040"/>
        </w:rPr>
        <w:t xml:space="preserve"> </w:t>
      </w:r>
      <w:r w:rsidR="00971883" w:rsidRPr="00E13F3F">
        <w:rPr>
          <w:rFonts w:ascii="Arial" w:hAnsi="Arial" w:cs="Arial"/>
          <w:color w:val="404040"/>
        </w:rPr>
        <w:t>Estas operaciones se eliminan en el proceso de consolidación, con el fin de evitar la sobrestimación generada por la doble acumulación de valores.</w:t>
      </w:r>
    </w:p>
    <w:p w:rsidR="00971883" w:rsidRDefault="00971883" w:rsidP="00380A29">
      <w:pPr>
        <w:autoSpaceDE w:val="0"/>
        <w:autoSpaceDN w:val="0"/>
        <w:adjustRightInd w:val="0"/>
        <w:jc w:val="both"/>
        <w:rPr>
          <w:rFonts w:ascii="Arial" w:hAnsi="Arial" w:cs="Arial"/>
          <w:color w:val="000000"/>
        </w:rPr>
      </w:pPr>
    </w:p>
    <w:tbl>
      <w:tblPr>
        <w:tblW w:w="9510" w:type="dxa"/>
        <w:tblInd w:w="-108" w:type="dxa"/>
        <w:tblBorders>
          <w:top w:val="nil"/>
          <w:left w:val="nil"/>
          <w:bottom w:val="nil"/>
          <w:right w:val="nil"/>
        </w:tblBorders>
        <w:tblLayout w:type="fixed"/>
        <w:tblLook w:val="0000" w:firstRow="0" w:lastRow="0" w:firstColumn="0" w:lastColumn="0" w:noHBand="0" w:noVBand="0"/>
      </w:tblPr>
      <w:tblGrid>
        <w:gridCol w:w="9510"/>
      </w:tblGrid>
      <w:tr w:rsidR="00971883" w:rsidRPr="00E13F3F" w:rsidTr="00971883">
        <w:trPr>
          <w:trHeight w:val="15"/>
        </w:trPr>
        <w:tc>
          <w:tcPr>
            <w:tcW w:w="9510" w:type="dxa"/>
          </w:tcPr>
          <w:p w:rsidR="00971883" w:rsidRPr="00E13F3F" w:rsidRDefault="00971883" w:rsidP="00971883">
            <w:pPr>
              <w:autoSpaceDE w:val="0"/>
              <w:autoSpaceDN w:val="0"/>
              <w:adjustRightInd w:val="0"/>
              <w:rPr>
                <w:rFonts w:ascii="Arial" w:hAnsi="Arial" w:cs="Arial"/>
                <w:color w:val="404040"/>
              </w:rPr>
            </w:pPr>
            <w:r w:rsidRPr="00E13F3F">
              <w:rPr>
                <w:rFonts w:ascii="Arial" w:hAnsi="Arial" w:cs="Arial"/>
                <w:color w:val="404040"/>
              </w:rPr>
              <w:t xml:space="preserve">De acuerdo con el reporte GN2015_002_OPERACIONES_RECIPROCAS_CONVERGENCIA, </w:t>
            </w:r>
          </w:p>
        </w:tc>
      </w:tr>
    </w:tbl>
    <w:p w:rsidR="00AC1E0B" w:rsidRPr="00E13F3F" w:rsidRDefault="00971883" w:rsidP="00380A29">
      <w:pPr>
        <w:autoSpaceDE w:val="0"/>
        <w:autoSpaceDN w:val="0"/>
        <w:adjustRightInd w:val="0"/>
        <w:jc w:val="both"/>
        <w:rPr>
          <w:rFonts w:ascii="Arial" w:hAnsi="Arial" w:cs="Arial"/>
          <w:color w:val="404040"/>
        </w:rPr>
      </w:pPr>
      <w:r w:rsidRPr="00E13F3F">
        <w:rPr>
          <w:rFonts w:ascii="Arial" w:hAnsi="Arial" w:cs="Arial"/>
          <w:color w:val="404040"/>
        </w:rPr>
        <w:t>l</w:t>
      </w:r>
      <w:r w:rsidR="00AF7987" w:rsidRPr="00E13F3F">
        <w:rPr>
          <w:rFonts w:ascii="Arial" w:hAnsi="Arial" w:cs="Arial"/>
          <w:color w:val="404040"/>
        </w:rPr>
        <w:t xml:space="preserve">a Función Pública al mes de octubre reporta cuentas reciprocas con las siguientes entidades: ESAP, DIAN, TESORO </w:t>
      </w:r>
      <w:r w:rsidRPr="00E13F3F">
        <w:rPr>
          <w:rFonts w:ascii="Arial" w:hAnsi="Arial" w:cs="Arial"/>
          <w:color w:val="404040"/>
        </w:rPr>
        <w:t xml:space="preserve">NACIONAL, ICBF, MINISTERIO DE EDUCACIÓN, SENA, HOTEL SAN DIEGO S.A, EMPRESA DE ACUEDUCTO Y ALCANTARILLADO DE BOGOTA, EMPRESA DE TELECOMUNICACIONES DE BOGOTA, SERVICIOS POSTALES NACIONALES S.A, LA PREVISORA S.A, BANCO AGRARIO, GOBERNACIÓN DE ANTIOQUIA, GOBERNACION DE QUINDIO E ICETEX. </w:t>
      </w:r>
      <w:r w:rsidR="00E13F3F" w:rsidRPr="00E13F3F">
        <w:rPr>
          <w:rFonts w:ascii="Arial" w:hAnsi="Arial" w:cs="Arial"/>
          <w:color w:val="404040"/>
        </w:rPr>
        <w:t>Igualmente,</w:t>
      </w:r>
      <w:r w:rsidR="00703C06" w:rsidRPr="00E13F3F">
        <w:rPr>
          <w:rFonts w:ascii="Arial" w:hAnsi="Arial" w:cs="Arial"/>
          <w:color w:val="404040"/>
        </w:rPr>
        <w:t xml:space="preserve"> mensualmente se llevan a cabo conciliaciones con las entidades enunciadas; </w:t>
      </w:r>
      <w:r w:rsidR="00DC755B" w:rsidRPr="00E13F3F">
        <w:rPr>
          <w:rFonts w:ascii="Arial" w:hAnsi="Arial" w:cs="Arial"/>
          <w:color w:val="404040"/>
        </w:rPr>
        <w:t>en el mes de septiembre</w:t>
      </w:r>
      <w:r w:rsidR="00703C06" w:rsidRPr="00E13F3F">
        <w:rPr>
          <w:rFonts w:ascii="Arial" w:hAnsi="Arial" w:cs="Arial"/>
          <w:color w:val="404040"/>
        </w:rPr>
        <w:t xml:space="preserve"> se realizó conciliación</w:t>
      </w:r>
      <w:r w:rsidR="00DC755B" w:rsidRPr="00E13F3F">
        <w:rPr>
          <w:rFonts w:ascii="Arial" w:hAnsi="Arial" w:cs="Arial"/>
          <w:color w:val="404040"/>
        </w:rPr>
        <w:t xml:space="preserve"> con la DIAN, Empresa de acueducto y alcantarillado y Ministerio de Hacienda y Crédito Público.</w:t>
      </w:r>
    </w:p>
    <w:p w:rsidR="00DF757A" w:rsidRPr="005D3C48" w:rsidRDefault="00DF757A" w:rsidP="00380A29">
      <w:pPr>
        <w:autoSpaceDE w:val="0"/>
        <w:autoSpaceDN w:val="0"/>
        <w:adjustRightInd w:val="0"/>
        <w:jc w:val="both"/>
        <w:rPr>
          <w:rFonts w:ascii="Arial" w:hAnsi="Arial" w:cs="Arial"/>
          <w:color w:val="000000"/>
        </w:rPr>
      </w:pPr>
    </w:p>
    <w:p w:rsidR="00AC1E0B" w:rsidRPr="00AC1E0B" w:rsidRDefault="00C80D2D" w:rsidP="00AC1E0B">
      <w:pPr>
        <w:pStyle w:val="Prrafodelista"/>
        <w:numPr>
          <w:ilvl w:val="0"/>
          <w:numId w:val="19"/>
        </w:numPr>
        <w:autoSpaceDE w:val="0"/>
        <w:autoSpaceDN w:val="0"/>
        <w:adjustRightInd w:val="0"/>
        <w:jc w:val="both"/>
        <w:rPr>
          <w:rFonts w:ascii="Arial" w:hAnsi="Arial" w:cs="Arial"/>
          <w:b/>
          <w:color w:val="404040"/>
        </w:rPr>
      </w:pPr>
      <w:bookmarkStart w:id="3" w:name="_Hlk55889293"/>
      <w:r w:rsidRPr="00C80D2D">
        <w:rPr>
          <w:rFonts w:ascii="Arial" w:hAnsi="Arial" w:cs="Arial"/>
          <w:b/>
          <w:color w:val="404040"/>
        </w:rPr>
        <w:t>Comité Técnico de Sostenibilidad del Sistema de Contabilidad Pública</w:t>
      </w:r>
    </w:p>
    <w:bookmarkEnd w:id="3"/>
    <w:p w:rsidR="00380A29" w:rsidRDefault="00380A29" w:rsidP="00380A29">
      <w:pPr>
        <w:autoSpaceDE w:val="0"/>
        <w:autoSpaceDN w:val="0"/>
        <w:adjustRightInd w:val="0"/>
        <w:jc w:val="both"/>
        <w:rPr>
          <w:rFonts w:ascii="Arial" w:hAnsi="Arial" w:cs="Arial"/>
          <w:b/>
          <w:color w:val="404040"/>
        </w:rPr>
      </w:pPr>
    </w:p>
    <w:p w:rsidR="00C80D2D" w:rsidRPr="00E13F3F" w:rsidRDefault="00C80D2D" w:rsidP="00C80D2D">
      <w:pPr>
        <w:pStyle w:val="Default"/>
        <w:jc w:val="both"/>
        <w:rPr>
          <w:color w:val="404040"/>
          <w:sz w:val="22"/>
          <w:szCs w:val="22"/>
        </w:rPr>
      </w:pPr>
      <w:r w:rsidRPr="00E13F3F">
        <w:rPr>
          <w:color w:val="404040"/>
          <w:sz w:val="22"/>
          <w:szCs w:val="22"/>
        </w:rPr>
        <w:t xml:space="preserve">La Función Pública mediante Resolución </w:t>
      </w:r>
      <w:r w:rsidR="004C7F90" w:rsidRPr="00E13F3F">
        <w:rPr>
          <w:color w:val="404040"/>
          <w:sz w:val="22"/>
          <w:szCs w:val="22"/>
        </w:rPr>
        <w:t xml:space="preserve">No. </w:t>
      </w:r>
      <w:r w:rsidRPr="00E13F3F">
        <w:rPr>
          <w:color w:val="404040"/>
          <w:sz w:val="22"/>
          <w:szCs w:val="22"/>
        </w:rPr>
        <w:t xml:space="preserve">077 del 11 de febrero de 2015, modificada según Resolución </w:t>
      </w:r>
      <w:r w:rsidR="004C7F90" w:rsidRPr="00E13F3F">
        <w:rPr>
          <w:color w:val="404040"/>
          <w:sz w:val="22"/>
          <w:szCs w:val="22"/>
        </w:rPr>
        <w:t xml:space="preserve">No. </w:t>
      </w:r>
      <w:r w:rsidRPr="00E13F3F">
        <w:rPr>
          <w:color w:val="404040"/>
          <w:sz w:val="22"/>
          <w:szCs w:val="22"/>
        </w:rPr>
        <w:t xml:space="preserve">092 del 19 de febrero de 2016, creó el Comité Técnico de Sostenibilidad del Sistema de Contabilidad Pública, con el objetivo de garantizar la razonabilidad de la información financiera, económica y social, teniendo como propósito garantizar la presentación de información real y oportuna y de contribuir a la cultura del autocontrol en los procesos y procedimientos financieros en la Entidad. </w:t>
      </w:r>
    </w:p>
    <w:p w:rsidR="004C7F90" w:rsidRPr="00E13F3F" w:rsidRDefault="004C7F90" w:rsidP="00C80D2D">
      <w:pPr>
        <w:pStyle w:val="Default"/>
        <w:jc w:val="both"/>
        <w:rPr>
          <w:color w:val="404040"/>
          <w:sz w:val="22"/>
          <w:szCs w:val="22"/>
        </w:rPr>
      </w:pPr>
    </w:p>
    <w:p w:rsidR="00C80D2D" w:rsidRPr="00E13F3F" w:rsidRDefault="00C80D2D" w:rsidP="00C80D2D">
      <w:pPr>
        <w:autoSpaceDE w:val="0"/>
        <w:autoSpaceDN w:val="0"/>
        <w:adjustRightInd w:val="0"/>
        <w:jc w:val="both"/>
        <w:rPr>
          <w:rFonts w:ascii="Arial" w:hAnsi="Arial" w:cs="Arial"/>
          <w:color w:val="404040"/>
        </w:rPr>
      </w:pPr>
      <w:r w:rsidRPr="00E13F3F">
        <w:rPr>
          <w:rFonts w:ascii="Arial" w:hAnsi="Arial" w:cs="Arial"/>
          <w:color w:val="404040"/>
        </w:rPr>
        <w:t xml:space="preserve">Por medio de este comité se adelantan las gestiones administrativas necesarias para depurar las cifras y demás datos contenidos en los estados, informes y reportes contables, para garantizar que estos cumplan las características de la información contable. </w:t>
      </w:r>
    </w:p>
    <w:p w:rsidR="00C80D2D" w:rsidRPr="00E13F3F" w:rsidRDefault="00C80D2D" w:rsidP="00C80D2D">
      <w:pPr>
        <w:autoSpaceDE w:val="0"/>
        <w:autoSpaceDN w:val="0"/>
        <w:adjustRightInd w:val="0"/>
        <w:jc w:val="both"/>
        <w:rPr>
          <w:rFonts w:ascii="Arial" w:hAnsi="Arial" w:cs="Arial"/>
          <w:color w:val="404040"/>
        </w:rPr>
      </w:pPr>
    </w:p>
    <w:p w:rsidR="00171655" w:rsidRPr="00E13F3F" w:rsidRDefault="00C80D2D" w:rsidP="00C80D2D">
      <w:pPr>
        <w:autoSpaceDE w:val="0"/>
        <w:autoSpaceDN w:val="0"/>
        <w:adjustRightInd w:val="0"/>
        <w:jc w:val="both"/>
        <w:rPr>
          <w:rFonts w:ascii="Arial" w:hAnsi="Arial" w:cs="Arial"/>
          <w:color w:val="404040"/>
        </w:rPr>
      </w:pPr>
      <w:r w:rsidRPr="00E13F3F">
        <w:rPr>
          <w:rFonts w:ascii="Arial" w:hAnsi="Arial" w:cs="Arial"/>
          <w:color w:val="404040"/>
        </w:rPr>
        <w:t xml:space="preserve">A </w:t>
      </w:r>
      <w:r w:rsidR="00C07E2E" w:rsidRPr="00E13F3F">
        <w:rPr>
          <w:rFonts w:ascii="Arial" w:hAnsi="Arial" w:cs="Arial"/>
          <w:color w:val="404040"/>
        </w:rPr>
        <w:t>continuación,</w:t>
      </w:r>
      <w:r w:rsidRPr="00E13F3F">
        <w:rPr>
          <w:rFonts w:ascii="Arial" w:hAnsi="Arial" w:cs="Arial"/>
          <w:color w:val="404040"/>
        </w:rPr>
        <w:t xml:space="preserve"> se describe </w:t>
      </w:r>
      <w:r w:rsidR="005949F8" w:rsidRPr="00E13F3F">
        <w:rPr>
          <w:rFonts w:ascii="Arial" w:hAnsi="Arial" w:cs="Arial"/>
          <w:color w:val="404040"/>
        </w:rPr>
        <w:t xml:space="preserve">de manera sucinta </w:t>
      </w:r>
      <w:r w:rsidRPr="00E13F3F">
        <w:rPr>
          <w:rFonts w:ascii="Arial" w:hAnsi="Arial" w:cs="Arial"/>
          <w:color w:val="404040"/>
        </w:rPr>
        <w:t>el seguimiento a los temas tratados durante la vigencia en el Comité Técnico de Sostenibilidad del Sistem</w:t>
      </w:r>
      <w:r w:rsidR="00171655" w:rsidRPr="00E13F3F">
        <w:rPr>
          <w:rFonts w:ascii="Arial" w:hAnsi="Arial" w:cs="Arial"/>
          <w:color w:val="404040"/>
        </w:rPr>
        <w:t>a de Contabilidad Pública:</w:t>
      </w:r>
      <w:r w:rsidR="00F60646" w:rsidRPr="00E13F3F">
        <w:rPr>
          <w:rFonts w:ascii="Arial" w:hAnsi="Arial" w:cs="Arial"/>
          <w:color w:val="404040"/>
        </w:rPr>
        <w:t xml:space="preserve"> </w:t>
      </w:r>
    </w:p>
    <w:p w:rsidR="0027257F" w:rsidRPr="00E13F3F" w:rsidRDefault="0027257F" w:rsidP="00C80D2D">
      <w:pPr>
        <w:autoSpaceDE w:val="0"/>
        <w:autoSpaceDN w:val="0"/>
        <w:adjustRightInd w:val="0"/>
        <w:jc w:val="both"/>
        <w:rPr>
          <w:rFonts w:ascii="Arial" w:hAnsi="Arial" w:cs="Arial"/>
          <w:color w:val="404040"/>
        </w:rPr>
      </w:pPr>
    </w:p>
    <w:p w:rsidR="004D0E9B" w:rsidRDefault="004D0E9B" w:rsidP="0027257F">
      <w:pPr>
        <w:pStyle w:val="Default"/>
        <w:jc w:val="both"/>
        <w:rPr>
          <w:i/>
        </w:rPr>
      </w:pPr>
    </w:p>
    <w:p w:rsidR="004D0E9B" w:rsidRDefault="004D0E9B" w:rsidP="0027257F">
      <w:pPr>
        <w:pStyle w:val="Default"/>
        <w:jc w:val="both"/>
        <w:rPr>
          <w:i/>
        </w:rPr>
      </w:pPr>
    </w:p>
    <w:p w:rsidR="004D0E9B" w:rsidRDefault="004D0E9B" w:rsidP="0027257F">
      <w:pPr>
        <w:pStyle w:val="Default"/>
        <w:jc w:val="both"/>
        <w:rPr>
          <w:i/>
        </w:rPr>
      </w:pPr>
    </w:p>
    <w:p w:rsidR="008A6E50" w:rsidRDefault="0027257F" w:rsidP="0027257F">
      <w:pPr>
        <w:pStyle w:val="Default"/>
        <w:jc w:val="both"/>
      </w:pPr>
      <w:r w:rsidRPr="0027257F">
        <w:rPr>
          <w:i/>
        </w:rPr>
        <w:t>Acta 001 del 23 de julio de 2020</w:t>
      </w:r>
      <w:r>
        <w:t xml:space="preserve">: </w:t>
      </w:r>
    </w:p>
    <w:p w:rsidR="008A6E50" w:rsidRDefault="008A6E50" w:rsidP="0027257F">
      <w:pPr>
        <w:pStyle w:val="Default"/>
        <w:jc w:val="both"/>
      </w:pPr>
    </w:p>
    <w:p w:rsidR="008A6E50" w:rsidRPr="00E13F3F" w:rsidRDefault="008A6E50" w:rsidP="0027257F">
      <w:pPr>
        <w:pStyle w:val="Default"/>
        <w:jc w:val="both"/>
        <w:rPr>
          <w:color w:val="404040"/>
          <w:sz w:val="22"/>
          <w:szCs w:val="22"/>
        </w:rPr>
      </w:pPr>
      <w:r w:rsidRPr="00E13F3F">
        <w:rPr>
          <w:color w:val="404040"/>
          <w:sz w:val="22"/>
          <w:szCs w:val="22"/>
        </w:rPr>
        <w:t xml:space="preserve">1. </w:t>
      </w:r>
      <w:r w:rsidR="0027257F" w:rsidRPr="00E13F3F">
        <w:rPr>
          <w:color w:val="404040"/>
          <w:sz w:val="22"/>
          <w:szCs w:val="22"/>
        </w:rPr>
        <w:t>Exposición y aprobación de bienes para dar de baja</w:t>
      </w:r>
      <w:r w:rsidRPr="00E13F3F">
        <w:rPr>
          <w:color w:val="404040"/>
          <w:sz w:val="22"/>
          <w:szCs w:val="22"/>
        </w:rPr>
        <w:t>, con la aplicación de algunas recomendaciones efectuadas por parte de algunos miembros del comité.</w:t>
      </w:r>
    </w:p>
    <w:p w:rsidR="008A6E50" w:rsidRPr="00E13F3F" w:rsidRDefault="008A6E50" w:rsidP="0027257F">
      <w:pPr>
        <w:pStyle w:val="Default"/>
        <w:jc w:val="both"/>
        <w:rPr>
          <w:color w:val="404040"/>
          <w:sz w:val="22"/>
          <w:szCs w:val="22"/>
        </w:rPr>
      </w:pPr>
    </w:p>
    <w:p w:rsidR="0027257F" w:rsidRPr="00E13F3F" w:rsidRDefault="008A6E50" w:rsidP="0027257F">
      <w:pPr>
        <w:pStyle w:val="Default"/>
        <w:jc w:val="both"/>
        <w:rPr>
          <w:color w:val="404040"/>
          <w:sz w:val="22"/>
          <w:szCs w:val="22"/>
        </w:rPr>
      </w:pPr>
      <w:r w:rsidRPr="00E13F3F">
        <w:rPr>
          <w:color w:val="404040"/>
          <w:sz w:val="22"/>
          <w:szCs w:val="22"/>
        </w:rPr>
        <w:t xml:space="preserve">2. Verificación de los bienes que se encuentran con depreciación cero (0) y o próximas vencer: </w:t>
      </w:r>
      <w:r w:rsidR="0012118B" w:rsidRPr="00E13F3F">
        <w:rPr>
          <w:color w:val="404040"/>
          <w:sz w:val="22"/>
          <w:szCs w:val="22"/>
        </w:rPr>
        <w:t xml:space="preserve">Se plantean algunas problemáticas frente a los conceptos técnicos que debe emitir la OTIC para proceder contablemente. Por lo anterior, </w:t>
      </w:r>
      <w:r w:rsidR="0027257F" w:rsidRPr="00E13F3F">
        <w:rPr>
          <w:color w:val="404040"/>
          <w:sz w:val="22"/>
          <w:szCs w:val="22"/>
        </w:rPr>
        <w:t>se dejan los siguientes compromisos</w:t>
      </w:r>
      <w:r w:rsidRPr="00E13F3F">
        <w:rPr>
          <w:color w:val="404040"/>
          <w:sz w:val="22"/>
          <w:szCs w:val="22"/>
        </w:rPr>
        <w:t xml:space="preserve"> al 29 de julio</w:t>
      </w:r>
      <w:r w:rsidR="0027257F" w:rsidRPr="00E13F3F">
        <w:rPr>
          <w:color w:val="404040"/>
          <w:sz w:val="22"/>
          <w:szCs w:val="22"/>
        </w:rPr>
        <w:t xml:space="preserve">: </w:t>
      </w:r>
    </w:p>
    <w:p w:rsidR="0027257F" w:rsidRPr="00E13F3F" w:rsidRDefault="0027257F" w:rsidP="0027257F">
      <w:pPr>
        <w:pStyle w:val="Default"/>
        <w:jc w:val="both"/>
        <w:rPr>
          <w:color w:val="404040"/>
          <w:sz w:val="22"/>
          <w:szCs w:val="22"/>
        </w:rPr>
      </w:pPr>
    </w:p>
    <w:p w:rsidR="0027257F" w:rsidRPr="00E13F3F" w:rsidRDefault="008A6E50" w:rsidP="008A6E50">
      <w:pPr>
        <w:autoSpaceDE w:val="0"/>
        <w:autoSpaceDN w:val="0"/>
        <w:adjustRightInd w:val="0"/>
        <w:spacing w:after="38"/>
        <w:jc w:val="both"/>
        <w:rPr>
          <w:rFonts w:ascii="Arial" w:hAnsi="Arial" w:cs="Arial"/>
          <w:color w:val="404040"/>
        </w:rPr>
      </w:pPr>
      <w:r w:rsidRPr="00E13F3F">
        <w:rPr>
          <w:rFonts w:ascii="Arial" w:hAnsi="Arial" w:cs="Arial"/>
          <w:color w:val="404040"/>
        </w:rPr>
        <w:t xml:space="preserve">• Almacén </w:t>
      </w:r>
      <w:r w:rsidR="0027257F" w:rsidRPr="00E13F3F">
        <w:rPr>
          <w:rFonts w:ascii="Arial" w:hAnsi="Arial" w:cs="Arial"/>
          <w:color w:val="404040"/>
        </w:rPr>
        <w:t xml:space="preserve">debe enviar el reporte del inventario de OTIC, específicamente el de Andrea Martinez para que ella haga el respectivo análisis correspondiente a fin de emitir el concepto técnico y proceder a realizar la respectiva unificación. </w:t>
      </w:r>
    </w:p>
    <w:p w:rsidR="0051332B" w:rsidRDefault="0051332B" w:rsidP="008A6E50">
      <w:pPr>
        <w:autoSpaceDE w:val="0"/>
        <w:autoSpaceDN w:val="0"/>
        <w:adjustRightInd w:val="0"/>
        <w:spacing w:after="38"/>
        <w:jc w:val="both"/>
        <w:rPr>
          <w:rFonts w:ascii="Arial" w:hAnsi="Arial" w:cs="Arial"/>
          <w:color w:val="000000"/>
          <w:sz w:val="23"/>
          <w:szCs w:val="23"/>
        </w:rPr>
      </w:pPr>
    </w:p>
    <w:p w:rsidR="0027257F" w:rsidRPr="00E13F3F" w:rsidRDefault="0027257F" w:rsidP="008A6E50">
      <w:pPr>
        <w:autoSpaceDE w:val="0"/>
        <w:autoSpaceDN w:val="0"/>
        <w:adjustRightInd w:val="0"/>
        <w:spacing w:after="38"/>
        <w:jc w:val="both"/>
        <w:rPr>
          <w:rFonts w:ascii="Arial" w:hAnsi="Arial" w:cs="Arial"/>
          <w:color w:val="404040"/>
        </w:rPr>
      </w:pPr>
      <w:r w:rsidRPr="0027257F">
        <w:rPr>
          <w:rFonts w:ascii="Times New Roman" w:hAnsi="Times New Roman" w:cs="Times New Roman"/>
          <w:color w:val="000000"/>
          <w:sz w:val="23"/>
          <w:szCs w:val="23"/>
        </w:rPr>
        <w:t xml:space="preserve">• </w:t>
      </w:r>
      <w:r w:rsidRPr="00E13F3F">
        <w:rPr>
          <w:rFonts w:ascii="Arial" w:hAnsi="Arial" w:cs="Arial"/>
          <w:color w:val="404040"/>
        </w:rPr>
        <w:t xml:space="preserve">Almacén debe realizar las diferentes consultas a NEON sobre la unificación de las licencias y el proceso de la depreciación desde enero. </w:t>
      </w:r>
    </w:p>
    <w:p w:rsidR="0051332B" w:rsidRPr="00E13F3F" w:rsidRDefault="0051332B" w:rsidP="008A6E50">
      <w:pPr>
        <w:autoSpaceDE w:val="0"/>
        <w:autoSpaceDN w:val="0"/>
        <w:adjustRightInd w:val="0"/>
        <w:spacing w:after="38"/>
        <w:jc w:val="both"/>
        <w:rPr>
          <w:rFonts w:ascii="Arial" w:hAnsi="Arial" w:cs="Arial"/>
          <w:color w:val="404040"/>
        </w:rPr>
      </w:pPr>
    </w:p>
    <w:p w:rsidR="0027257F" w:rsidRPr="00E13F3F" w:rsidRDefault="0027257F" w:rsidP="008A6E50">
      <w:pPr>
        <w:autoSpaceDE w:val="0"/>
        <w:autoSpaceDN w:val="0"/>
        <w:adjustRightInd w:val="0"/>
        <w:spacing w:after="38"/>
        <w:jc w:val="both"/>
        <w:rPr>
          <w:rFonts w:ascii="Arial" w:hAnsi="Arial" w:cs="Arial"/>
          <w:color w:val="404040"/>
        </w:rPr>
      </w:pPr>
      <w:r w:rsidRPr="00E13F3F">
        <w:rPr>
          <w:rFonts w:ascii="Arial" w:hAnsi="Arial" w:cs="Arial"/>
          <w:color w:val="404040"/>
        </w:rPr>
        <w:t xml:space="preserve">• OTIC se compromete a buscar una cotización con el proveedor a fin de darle un valor a esta licencia. </w:t>
      </w:r>
    </w:p>
    <w:p w:rsidR="008A6E50" w:rsidRPr="00E13F3F" w:rsidRDefault="008A6E50" w:rsidP="008A6E50">
      <w:pPr>
        <w:autoSpaceDE w:val="0"/>
        <w:autoSpaceDN w:val="0"/>
        <w:adjustRightInd w:val="0"/>
        <w:spacing w:after="38"/>
        <w:jc w:val="both"/>
        <w:rPr>
          <w:rFonts w:ascii="Arial" w:hAnsi="Arial" w:cs="Arial"/>
          <w:color w:val="404040"/>
        </w:rPr>
      </w:pPr>
    </w:p>
    <w:p w:rsidR="0027257F" w:rsidRPr="00E13F3F" w:rsidRDefault="0027257F" w:rsidP="008A6E50">
      <w:pPr>
        <w:autoSpaceDE w:val="0"/>
        <w:autoSpaceDN w:val="0"/>
        <w:adjustRightInd w:val="0"/>
        <w:jc w:val="both"/>
        <w:rPr>
          <w:rFonts w:ascii="Arial" w:hAnsi="Arial" w:cs="Arial"/>
          <w:color w:val="404040"/>
        </w:rPr>
      </w:pPr>
      <w:r w:rsidRPr="00E13F3F">
        <w:rPr>
          <w:rFonts w:ascii="Arial" w:hAnsi="Arial" w:cs="Arial"/>
          <w:color w:val="404040"/>
        </w:rPr>
        <w:t xml:space="preserve">• Continuar con la conciliación cuatrimestral de almacén y OTIC. </w:t>
      </w:r>
    </w:p>
    <w:p w:rsidR="0012118B" w:rsidRPr="00E13F3F" w:rsidRDefault="0012118B" w:rsidP="008A6E50">
      <w:pPr>
        <w:autoSpaceDE w:val="0"/>
        <w:autoSpaceDN w:val="0"/>
        <w:adjustRightInd w:val="0"/>
        <w:jc w:val="both"/>
        <w:rPr>
          <w:rFonts w:ascii="Arial" w:hAnsi="Arial" w:cs="Arial"/>
          <w:color w:val="404040"/>
        </w:rPr>
      </w:pPr>
    </w:p>
    <w:p w:rsidR="0012118B" w:rsidRPr="00E13F3F" w:rsidRDefault="0012118B" w:rsidP="008A6E50">
      <w:pPr>
        <w:autoSpaceDE w:val="0"/>
        <w:autoSpaceDN w:val="0"/>
        <w:adjustRightInd w:val="0"/>
        <w:jc w:val="both"/>
        <w:rPr>
          <w:rFonts w:ascii="Arial" w:hAnsi="Arial" w:cs="Arial"/>
          <w:color w:val="404040"/>
        </w:rPr>
      </w:pPr>
      <w:r w:rsidRPr="00E13F3F">
        <w:rPr>
          <w:rFonts w:ascii="Arial" w:hAnsi="Arial" w:cs="Arial"/>
          <w:color w:val="404040"/>
        </w:rPr>
        <w:t>3. Estado de las incapacidades: El Grupo de Talento Humano expone el estado de las incapacidades desde el año 2016 hasta junio de 2020 y la gestión adelantada para su depuración, a lo cual los miembros del comité realizan algunas recomendaciones. Se dejan los siguientes compromisos:</w:t>
      </w:r>
    </w:p>
    <w:p w:rsidR="0012118B" w:rsidRPr="00E13F3F" w:rsidRDefault="0012118B" w:rsidP="008A6E50">
      <w:pPr>
        <w:autoSpaceDE w:val="0"/>
        <w:autoSpaceDN w:val="0"/>
        <w:adjustRightInd w:val="0"/>
        <w:jc w:val="both"/>
        <w:rPr>
          <w:rFonts w:ascii="Arial" w:hAnsi="Arial" w:cs="Arial"/>
          <w:color w:val="404040"/>
        </w:rPr>
      </w:pPr>
    </w:p>
    <w:p w:rsidR="0012118B" w:rsidRPr="00E13F3F" w:rsidRDefault="0098514F" w:rsidP="0012118B">
      <w:pPr>
        <w:autoSpaceDE w:val="0"/>
        <w:autoSpaceDN w:val="0"/>
        <w:adjustRightInd w:val="0"/>
        <w:spacing w:after="38"/>
        <w:jc w:val="both"/>
        <w:rPr>
          <w:rFonts w:ascii="Arial" w:hAnsi="Arial" w:cs="Arial"/>
          <w:color w:val="404040"/>
        </w:rPr>
      </w:pPr>
      <w:r w:rsidRPr="00E13F3F">
        <w:rPr>
          <w:rFonts w:ascii="Arial" w:hAnsi="Arial" w:cs="Arial"/>
          <w:color w:val="404040"/>
        </w:rPr>
        <w:t>• E</w:t>
      </w:r>
      <w:r w:rsidR="0012118B" w:rsidRPr="00E13F3F">
        <w:rPr>
          <w:rFonts w:ascii="Arial" w:hAnsi="Arial" w:cs="Arial"/>
          <w:color w:val="404040"/>
        </w:rPr>
        <w:t>l Grupo de Gestión Humana realizar</w:t>
      </w:r>
      <w:r w:rsidRPr="00E13F3F">
        <w:rPr>
          <w:rFonts w:ascii="Arial" w:hAnsi="Arial" w:cs="Arial"/>
          <w:color w:val="404040"/>
        </w:rPr>
        <w:t>a</w:t>
      </w:r>
      <w:r w:rsidR="0012118B" w:rsidRPr="00E13F3F">
        <w:rPr>
          <w:rFonts w:ascii="Arial" w:hAnsi="Arial" w:cs="Arial"/>
          <w:color w:val="404040"/>
        </w:rPr>
        <w:t xml:space="preserve"> </w:t>
      </w:r>
      <w:r w:rsidRPr="00E13F3F">
        <w:rPr>
          <w:rFonts w:ascii="Arial" w:hAnsi="Arial" w:cs="Arial"/>
          <w:color w:val="404040"/>
        </w:rPr>
        <w:t>un</w:t>
      </w:r>
      <w:r w:rsidR="0012118B" w:rsidRPr="00E13F3F">
        <w:rPr>
          <w:rFonts w:ascii="Arial" w:hAnsi="Arial" w:cs="Arial"/>
          <w:color w:val="404040"/>
        </w:rPr>
        <w:t xml:space="preserve"> informe con todos los soportes a la Dirección Jurídica solicitando un concepto en relación con la posibilidad de cobro con esas obligaciones desde la vigencia 2016 hasta 2018</w:t>
      </w:r>
      <w:r w:rsidRPr="00E13F3F">
        <w:rPr>
          <w:rFonts w:ascii="Arial" w:hAnsi="Arial" w:cs="Arial"/>
          <w:color w:val="404040"/>
        </w:rPr>
        <w:t>, con plazo la primera semana de agosto.</w:t>
      </w:r>
    </w:p>
    <w:p w:rsidR="0098514F" w:rsidRPr="00E13F3F" w:rsidRDefault="0098514F" w:rsidP="0012118B">
      <w:pPr>
        <w:autoSpaceDE w:val="0"/>
        <w:autoSpaceDN w:val="0"/>
        <w:adjustRightInd w:val="0"/>
        <w:spacing w:after="38"/>
        <w:jc w:val="both"/>
        <w:rPr>
          <w:rFonts w:ascii="Arial" w:hAnsi="Arial" w:cs="Arial"/>
          <w:color w:val="404040"/>
        </w:rPr>
      </w:pPr>
    </w:p>
    <w:p w:rsidR="0027257F" w:rsidRPr="00E13F3F" w:rsidRDefault="0098514F" w:rsidP="008A6E50">
      <w:pPr>
        <w:autoSpaceDE w:val="0"/>
        <w:autoSpaceDN w:val="0"/>
        <w:adjustRightInd w:val="0"/>
        <w:jc w:val="both"/>
        <w:rPr>
          <w:rFonts w:ascii="Arial" w:hAnsi="Arial" w:cs="Arial"/>
          <w:color w:val="404040"/>
        </w:rPr>
      </w:pPr>
      <w:r w:rsidRPr="00E13F3F">
        <w:rPr>
          <w:rFonts w:ascii="Arial" w:hAnsi="Arial" w:cs="Arial"/>
          <w:color w:val="404040"/>
        </w:rPr>
        <w:t>• El Grupo de Gestión Humana debe realizar una simulación con un caso hipotético para tener una referencia y así poder definir los mayores o menores valores pagados por las E.P.S si son o no son significativos. Así mismo realizar la consulta al área jurídica respecto de los valores que se considerarían no significativos para realizar cobros jurídicos, lo anterior para poder definir una política desde el Grupo de Gestión Humana para que sea aprobada por el comité de sostenibilidad.</w:t>
      </w:r>
    </w:p>
    <w:p w:rsidR="0098514F" w:rsidRPr="00E13F3F" w:rsidRDefault="0098514F" w:rsidP="008A6E50">
      <w:pPr>
        <w:autoSpaceDE w:val="0"/>
        <w:autoSpaceDN w:val="0"/>
        <w:adjustRightInd w:val="0"/>
        <w:jc w:val="both"/>
        <w:rPr>
          <w:rFonts w:ascii="Arial" w:hAnsi="Arial" w:cs="Arial"/>
          <w:color w:val="404040"/>
        </w:rPr>
      </w:pPr>
    </w:p>
    <w:p w:rsidR="0027257F" w:rsidRPr="00E13F3F" w:rsidRDefault="0098514F" w:rsidP="00C80D2D">
      <w:pPr>
        <w:autoSpaceDE w:val="0"/>
        <w:autoSpaceDN w:val="0"/>
        <w:adjustRightInd w:val="0"/>
        <w:jc w:val="both"/>
        <w:rPr>
          <w:rFonts w:ascii="Arial" w:hAnsi="Arial" w:cs="Arial"/>
          <w:color w:val="404040"/>
        </w:rPr>
      </w:pPr>
      <w:r w:rsidRPr="00E13F3F">
        <w:rPr>
          <w:rFonts w:ascii="Arial" w:hAnsi="Arial" w:cs="Arial"/>
          <w:color w:val="404040"/>
        </w:rPr>
        <w:t xml:space="preserve">4. Casos que se encuentran en proceso de cobro por parte de la UGPP: teniendo en cuenta que el Grupo de Gestión Financiera no tenía conocimiento de estos casos, </w:t>
      </w:r>
      <w:r w:rsidR="00ED643C" w:rsidRPr="00E13F3F">
        <w:rPr>
          <w:rFonts w:ascii="Arial" w:hAnsi="Arial" w:cs="Arial"/>
          <w:color w:val="404040"/>
        </w:rPr>
        <w:t>los cobros no han sido reconocidos en los estados fi</w:t>
      </w:r>
      <w:r w:rsidR="005F5126" w:rsidRPr="00E13F3F">
        <w:rPr>
          <w:rFonts w:ascii="Arial" w:hAnsi="Arial" w:cs="Arial"/>
          <w:color w:val="404040"/>
        </w:rPr>
        <w:t>n</w:t>
      </w:r>
      <w:r w:rsidR="00ED643C" w:rsidRPr="00E13F3F">
        <w:rPr>
          <w:rFonts w:ascii="Arial" w:hAnsi="Arial" w:cs="Arial"/>
          <w:color w:val="404040"/>
        </w:rPr>
        <w:t>ancieros. Por lo anterior</w:t>
      </w:r>
      <w:r w:rsidR="009F7C76" w:rsidRPr="00E13F3F">
        <w:rPr>
          <w:rFonts w:ascii="Arial" w:hAnsi="Arial" w:cs="Arial"/>
          <w:color w:val="404040"/>
        </w:rPr>
        <w:t>,</w:t>
      </w:r>
      <w:r w:rsidR="00ED643C" w:rsidRPr="00E13F3F">
        <w:rPr>
          <w:rFonts w:ascii="Arial" w:hAnsi="Arial" w:cs="Arial"/>
          <w:color w:val="404040"/>
        </w:rPr>
        <w:t xml:space="preserve"> se </w:t>
      </w:r>
      <w:r w:rsidR="009F7C76" w:rsidRPr="00E13F3F">
        <w:rPr>
          <w:rFonts w:ascii="Arial" w:hAnsi="Arial" w:cs="Arial"/>
          <w:color w:val="404040"/>
        </w:rPr>
        <w:t>realizarán</w:t>
      </w:r>
      <w:r w:rsidR="00ED643C" w:rsidRPr="00E13F3F">
        <w:rPr>
          <w:rFonts w:ascii="Arial" w:hAnsi="Arial" w:cs="Arial"/>
          <w:color w:val="404040"/>
        </w:rPr>
        <w:t xml:space="preserve"> las gestiones pertine</w:t>
      </w:r>
      <w:r w:rsidR="009F7C76" w:rsidRPr="00E13F3F">
        <w:rPr>
          <w:rFonts w:ascii="Arial" w:hAnsi="Arial" w:cs="Arial"/>
          <w:color w:val="404040"/>
        </w:rPr>
        <w:t>ntes al Ministerio de Hacienda y a la UGPP</w:t>
      </w:r>
      <w:r w:rsidR="004B424B" w:rsidRPr="00E13F3F">
        <w:rPr>
          <w:rFonts w:ascii="Arial" w:hAnsi="Arial" w:cs="Arial"/>
          <w:color w:val="404040"/>
        </w:rPr>
        <w:t>. Igualmente, se</w:t>
      </w:r>
      <w:r w:rsidRPr="00E13F3F">
        <w:rPr>
          <w:rFonts w:ascii="Arial" w:hAnsi="Arial" w:cs="Arial"/>
          <w:color w:val="404040"/>
        </w:rPr>
        <w:t xml:space="preserve"> </w:t>
      </w:r>
      <w:r w:rsidR="004B424B" w:rsidRPr="00E13F3F">
        <w:rPr>
          <w:rFonts w:ascii="Arial" w:hAnsi="Arial" w:cs="Arial"/>
          <w:color w:val="404040"/>
        </w:rPr>
        <w:t>efectuará el registro contable de una cuenta por cobrar, la cual se encuentra acorde a la liquidación emitida por la UGPP y Gestión Humana y se dejaran notas a los estados financieros de hechos no recurrentes</w:t>
      </w:r>
      <w:r w:rsidR="00561818" w:rsidRPr="00E13F3F">
        <w:rPr>
          <w:rFonts w:ascii="Arial" w:hAnsi="Arial" w:cs="Arial"/>
          <w:color w:val="404040"/>
        </w:rPr>
        <w:t>,</w:t>
      </w:r>
      <w:r w:rsidR="004B424B" w:rsidRPr="00E13F3F">
        <w:rPr>
          <w:rFonts w:ascii="Arial" w:hAnsi="Arial" w:cs="Arial"/>
          <w:color w:val="404040"/>
        </w:rPr>
        <w:t xml:space="preserve"> </w:t>
      </w:r>
      <w:r w:rsidR="00561818" w:rsidRPr="00E13F3F">
        <w:rPr>
          <w:rFonts w:ascii="Arial" w:hAnsi="Arial" w:cs="Arial"/>
          <w:color w:val="404040"/>
        </w:rPr>
        <w:t xml:space="preserve">con </w:t>
      </w:r>
      <w:r w:rsidR="004B424B" w:rsidRPr="00E13F3F">
        <w:rPr>
          <w:rFonts w:ascii="Arial" w:hAnsi="Arial" w:cs="Arial"/>
          <w:color w:val="404040"/>
        </w:rPr>
        <w:t>corte junio</w:t>
      </w:r>
      <w:r w:rsidR="00561818" w:rsidRPr="00E13F3F">
        <w:rPr>
          <w:rFonts w:ascii="Arial" w:hAnsi="Arial" w:cs="Arial"/>
          <w:color w:val="404040"/>
        </w:rPr>
        <w:t xml:space="preserve"> de 2020.</w:t>
      </w:r>
      <w:r w:rsidR="004B424B" w:rsidRPr="00E13F3F">
        <w:rPr>
          <w:rFonts w:ascii="Arial" w:hAnsi="Arial" w:cs="Arial"/>
          <w:color w:val="404040"/>
        </w:rPr>
        <w:t xml:space="preserve"> </w:t>
      </w:r>
    </w:p>
    <w:p w:rsidR="0083150D" w:rsidRPr="004B424B" w:rsidRDefault="0083150D" w:rsidP="00C80D2D">
      <w:pPr>
        <w:autoSpaceDE w:val="0"/>
        <w:autoSpaceDN w:val="0"/>
        <w:adjustRightInd w:val="0"/>
        <w:jc w:val="both"/>
        <w:rPr>
          <w:rFonts w:ascii="Arial" w:hAnsi="Arial" w:cs="Arial"/>
          <w:color w:val="000000"/>
          <w:sz w:val="23"/>
          <w:szCs w:val="23"/>
        </w:rPr>
      </w:pPr>
    </w:p>
    <w:p w:rsidR="0027257F" w:rsidRPr="00E13F3F" w:rsidRDefault="0083150D" w:rsidP="00C80D2D">
      <w:pPr>
        <w:autoSpaceDE w:val="0"/>
        <w:autoSpaceDN w:val="0"/>
        <w:adjustRightInd w:val="0"/>
        <w:jc w:val="both"/>
        <w:rPr>
          <w:rFonts w:ascii="Arial" w:hAnsi="Arial" w:cs="Arial"/>
          <w:color w:val="404040"/>
        </w:rPr>
      </w:pPr>
      <w:r w:rsidRPr="0083150D">
        <w:rPr>
          <w:rFonts w:ascii="Arial" w:hAnsi="Arial" w:cs="Arial"/>
          <w:i/>
          <w:color w:val="000000"/>
          <w:sz w:val="23"/>
          <w:szCs w:val="23"/>
        </w:rPr>
        <w:t>Acta 002 del 09 y 10 de noviembre de 2020</w:t>
      </w:r>
      <w:r w:rsidRPr="00E13F3F">
        <w:rPr>
          <w:rFonts w:ascii="Arial" w:hAnsi="Arial" w:cs="Arial"/>
          <w:color w:val="404040"/>
        </w:rPr>
        <w:t>:</w:t>
      </w:r>
      <w:r w:rsidR="00642B70" w:rsidRPr="00E13F3F">
        <w:rPr>
          <w:rFonts w:ascii="Arial" w:hAnsi="Arial" w:cs="Arial"/>
          <w:color w:val="404040"/>
        </w:rPr>
        <w:t xml:space="preserve"> Se revisan los compromisos dejados en el comité de sostenibilidad contable del mes de julio y se tratan los siguientes temas:</w:t>
      </w:r>
    </w:p>
    <w:p w:rsidR="0083150D" w:rsidRPr="00E13F3F" w:rsidRDefault="0083150D" w:rsidP="00C80D2D">
      <w:pPr>
        <w:autoSpaceDE w:val="0"/>
        <w:autoSpaceDN w:val="0"/>
        <w:adjustRightInd w:val="0"/>
        <w:jc w:val="both"/>
        <w:rPr>
          <w:rFonts w:ascii="Arial" w:hAnsi="Arial" w:cs="Arial"/>
          <w:color w:val="404040"/>
        </w:rPr>
      </w:pPr>
    </w:p>
    <w:p w:rsidR="0083150D" w:rsidRPr="00E13F3F" w:rsidRDefault="00642B70" w:rsidP="00642B70">
      <w:pPr>
        <w:autoSpaceDE w:val="0"/>
        <w:autoSpaceDN w:val="0"/>
        <w:adjustRightInd w:val="0"/>
        <w:jc w:val="both"/>
        <w:rPr>
          <w:rFonts w:ascii="Arial" w:hAnsi="Arial" w:cs="Arial"/>
          <w:color w:val="404040"/>
        </w:rPr>
      </w:pPr>
      <w:r w:rsidRPr="00E13F3F">
        <w:rPr>
          <w:rFonts w:ascii="Arial" w:hAnsi="Arial" w:cs="Arial"/>
          <w:color w:val="404040"/>
        </w:rPr>
        <w:t>1. Intangibles (intangibles no reconocidos por la entidad en sus Estados Financieros, unificación de licencias, bienes con depreciación cero, conciliación, depuración del inventario a cargo de OTIC) - OTIC y Almacén</w:t>
      </w:r>
      <w:r w:rsidR="0073378D" w:rsidRPr="00E13F3F">
        <w:rPr>
          <w:rFonts w:ascii="Arial" w:hAnsi="Arial" w:cs="Arial"/>
          <w:color w:val="404040"/>
        </w:rPr>
        <w:t xml:space="preserve">: Algunos integrantes del comité manifiestan su preocupación con el tema de intangibles, por lo que es necesario realizar conciliaciones entre el Almacén y OTIC, con el fin de hacer registros contables de manera oportuna. </w:t>
      </w:r>
    </w:p>
    <w:p w:rsidR="00642B70" w:rsidRPr="00E13F3F" w:rsidRDefault="00642B70" w:rsidP="00642B70">
      <w:pPr>
        <w:autoSpaceDE w:val="0"/>
        <w:autoSpaceDN w:val="0"/>
        <w:adjustRightInd w:val="0"/>
        <w:jc w:val="both"/>
        <w:rPr>
          <w:rFonts w:ascii="Arial" w:hAnsi="Arial" w:cs="Arial"/>
          <w:color w:val="404040"/>
        </w:rPr>
      </w:pPr>
    </w:p>
    <w:p w:rsidR="0027257F" w:rsidRPr="00E13F3F" w:rsidRDefault="00642B70" w:rsidP="003114CE">
      <w:pPr>
        <w:autoSpaceDE w:val="0"/>
        <w:autoSpaceDN w:val="0"/>
        <w:adjustRightInd w:val="0"/>
        <w:jc w:val="both"/>
        <w:rPr>
          <w:rFonts w:ascii="Arial" w:hAnsi="Arial" w:cs="Arial"/>
          <w:color w:val="404040"/>
        </w:rPr>
      </w:pPr>
      <w:r>
        <w:rPr>
          <w:rFonts w:ascii="Arial" w:hAnsi="Arial" w:cs="Arial"/>
          <w:color w:val="000000"/>
          <w:sz w:val="23"/>
          <w:szCs w:val="23"/>
        </w:rPr>
        <w:t>2.</w:t>
      </w:r>
      <w:r w:rsidR="0073378D" w:rsidRPr="0073378D">
        <w:rPr>
          <w:rFonts w:ascii="CIDFont+F5" w:hAnsi="CIDFont+F5" w:cs="CIDFont+F5"/>
          <w:sz w:val="24"/>
          <w:szCs w:val="24"/>
        </w:rPr>
        <w:t xml:space="preserve"> </w:t>
      </w:r>
      <w:r w:rsidR="0073378D" w:rsidRPr="00E13F3F">
        <w:rPr>
          <w:rFonts w:ascii="Arial" w:hAnsi="Arial" w:cs="Arial"/>
          <w:color w:val="404040"/>
        </w:rPr>
        <w:t>Incapacidades (prescripción de incapacidades, informe a Jurídica, proyección de un caso para mayor y menor valor) – Gestión Humana: se realiz</w:t>
      </w:r>
      <w:r w:rsidR="0073378D" w:rsidRPr="00E13F3F">
        <w:rPr>
          <w:rFonts w:ascii="Arial" w:hAnsi="Arial" w:cs="Arial" w:hint="eastAsia"/>
          <w:color w:val="404040"/>
        </w:rPr>
        <w:t>ó</w:t>
      </w:r>
      <w:r w:rsidR="0073378D" w:rsidRPr="00E13F3F">
        <w:rPr>
          <w:rFonts w:ascii="Arial" w:hAnsi="Arial" w:cs="Arial"/>
          <w:color w:val="404040"/>
        </w:rPr>
        <w:t xml:space="preserve"> consulta a la Direcci</w:t>
      </w:r>
      <w:r w:rsidR="0073378D" w:rsidRPr="00E13F3F">
        <w:rPr>
          <w:rFonts w:ascii="Arial" w:hAnsi="Arial" w:cs="Arial" w:hint="eastAsia"/>
          <w:color w:val="404040"/>
        </w:rPr>
        <w:t>ó</w:t>
      </w:r>
      <w:r w:rsidR="0073378D" w:rsidRPr="00E13F3F">
        <w:rPr>
          <w:rFonts w:ascii="Arial" w:hAnsi="Arial" w:cs="Arial"/>
          <w:color w:val="404040"/>
        </w:rPr>
        <w:t>n Jur</w:t>
      </w:r>
      <w:r w:rsidR="0073378D" w:rsidRPr="00E13F3F">
        <w:rPr>
          <w:rFonts w:ascii="Arial" w:hAnsi="Arial" w:cs="Arial" w:hint="eastAsia"/>
          <w:color w:val="404040"/>
        </w:rPr>
        <w:t>í</w:t>
      </w:r>
      <w:r w:rsidR="0073378D" w:rsidRPr="00E13F3F">
        <w:rPr>
          <w:rFonts w:ascii="Arial" w:hAnsi="Arial" w:cs="Arial"/>
          <w:color w:val="404040"/>
        </w:rPr>
        <w:t>dica de los saldos de las incapacidades de las vigencias 2016, 2017 y 2018</w:t>
      </w:r>
      <w:r w:rsidR="003114CE" w:rsidRPr="00E13F3F">
        <w:rPr>
          <w:rFonts w:ascii="Arial" w:hAnsi="Arial" w:cs="Arial"/>
          <w:color w:val="404040"/>
        </w:rPr>
        <w:t>, al cual se dio respuesta</w:t>
      </w:r>
      <w:r w:rsidR="0073378D" w:rsidRPr="00E13F3F">
        <w:rPr>
          <w:rFonts w:ascii="Arial" w:hAnsi="Arial" w:cs="Arial"/>
          <w:color w:val="404040"/>
        </w:rPr>
        <w:t>. se debe hacer un informe con toda la traza de las gestiones de</w:t>
      </w:r>
      <w:r w:rsidR="003114CE" w:rsidRPr="00E13F3F">
        <w:rPr>
          <w:rFonts w:ascii="Arial" w:hAnsi="Arial" w:cs="Arial"/>
          <w:color w:val="404040"/>
        </w:rPr>
        <w:t xml:space="preserve"> </w:t>
      </w:r>
      <w:r w:rsidR="0073378D" w:rsidRPr="00E13F3F">
        <w:rPr>
          <w:rFonts w:ascii="Arial" w:hAnsi="Arial" w:cs="Arial"/>
          <w:color w:val="404040"/>
        </w:rPr>
        <w:t>recobro realizadas a fin de tener un expediente de cada una de ellas y poder tomar la decisi</w:t>
      </w:r>
      <w:r w:rsidR="0073378D" w:rsidRPr="00E13F3F">
        <w:rPr>
          <w:rFonts w:ascii="Arial" w:hAnsi="Arial" w:cs="Arial" w:hint="eastAsia"/>
          <w:color w:val="404040"/>
        </w:rPr>
        <w:t>ó</w:t>
      </w:r>
      <w:r w:rsidR="0073378D" w:rsidRPr="00E13F3F">
        <w:rPr>
          <w:rFonts w:ascii="Arial" w:hAnsi="Arial" w:cs="Arial"/>
          <w:color w:val="404040"/>
        </w:rPr>
        <w:t>n con</w:t>
      </w:r>
      <w:r w:rsidR="003114CE" w:rsidRPr="00E13F3F">
        <w:rPr>
          <w:rFonts w:ascii="Arial" w:hAnsi="Arial" w:cs="Arial"/>
          <w:color w:val="404040"/>
        </w:rPr>
        <w:t xml:space="preserve"> </w:t>
      </w:r>
      <w:r w:rsidR="0073378D" w:rsidRPr="00E13F3F">
        <w:rPr>
          <w:rFonts w:ascii="Arial" w:hAnsi="Arial" w:cs="Arial"/>
          <w:color w:val="404040"/>
        </w:rPr>
        <w:t>los soportes id</w:t>
      </w:r>
      <w:r w:rsidR="0073378D" w:rsidRPr="00E13F3F">
        <w:rPr>
          <w:rFonts w:ascii="Arial" w:hAnsi="Arial" w:cs="Arial" w:hint="eastAsia"/>
          <w:color w:val="404040"/>
        </w:rPr>
        <w:t>ó</w:t>
      </w:r>
      <w:r w:rsidR="0073378D" w:rsidRPr="00E13F3F">
        <w:rPr>
          <w:rFonts w:ascii="Arial" w:hAnsi="Arial" w:cs="Arial"/>
          <w:color w:val="404040"/>
        </w:rPr>
        <w:t>neos</w:t>
      </w:r>
      <w:r w:rsidR="003114CE" w:rsidRPr="00E13F3F">
        <w:rPr>
          <w:rFonts w:ascii="Arial" w:hAnsi="Arial" w:cs="Arial"/>
          <w:color w:val="404040"/>
        </w:rPr>
        <w:t>. De otra parte, se realizó una simulaci</w:t>
      </w:r>
      <w:r w:rsidR="003114CE" w:rsidRPr="00E13F3F">
        <w:rPr>
          <w:rFonts w:ascii="Arial" w:hAnsi="Arial" w:cs="Arial" w:hint="eastAsia"/>
          <w:color w:val="404040"/>
        </w:rPr>
        <w:t>ó</w:t>
      </w:r>
      <w:r w:rsidR="003114CE" w:rsidRPr="00E13F3F">
        <w:rPr>
          <w:rFonts w:ascii="Arial" w:hAnsi="Arial" w:cs="Arial"/>
          <w:color w:val="404040"/>
        </w:rPr>
        <w:t>n con las diferentes asignaciones de las plantas global y temporal para poder identificar a que obedece las diferencias que se presentan con las E.P.S al momento de calcular la incapacidad y esto b</w:t>
      </w:r>
      <w:r w:rsidR="003114CE" w:rsidRPr="00E13F3F">
        <w:rPr>
          <w:rFonts w:ascii="Arial" w:hAnsi="Arial" w:cs="Arial" w:hint="eastAsia"/>
          <w:color w:val="404040"/>
        </w:rPr>
        <w:t>á</w:t>
      </w:r>
      <w:r w:rsidR="003114CE" w:rsidRPr="00E13F3F">
        <w:rPr>
          <w:rFonts w:ascii="Arial" w:hAnsi="Arial" w:cs="Arial"/>
          <w:color w:val="404040"/>
        </w:rPr>
        <w:t>sicamente obedece a que ellos la calculan al 66.666% y funci</w:t>
      </w:r>
      <w:r w:rsidR="003114CE" w:rsidRPr="00E13F3F">
        <w:rPr>
          <w:rFonts w:ascii="Arial" w:hAnsi="Arial" w:cs="Arial" w:hint="eastAsia"/>
          <w:color w:val="404040"/>
        </w:rPr>
        <w:t>ó</w:t>
      </w:r>
      <w:r w:rsidR="003114CE" w:rsidRPr="00E13F3F">
        <w:rPr>
          <w:rFonts w:ascii="Arial" w:hAnsi="Arial" w:cs="Arial"/>
          <w:color w:val="404040"/>
        </w:rPr>
        <w:t>n pública la aproxima al 67% lo que genera diferencias peque</w:t>
      </w:r>
      <w:r w:rsidR="003114CE" w:rsidRPr="00E13F3F">
        <w:rPr>
          <w:rFonts w:ascii="Arial" w:hAnsi="Arial" w:cs="Arial" w:hint="eastAsia"/>
          <w:color w:val="404040"/>
        </w:rPr>
        <w:t>ñ</w:t>
      </w:r>
      <w:r w:rsidR="003114CE" w:rsidRPr="00E13F3F">
        <w:rPr>
          <w:rFonts w:ascii="Arial" w:hAnsi="Arial" w:cs="Arial"/>
          <w:color w:val="404040"/>
        </w:rPr>
        <w:t>as,</w:t>
      </w:r>
      <w:r w:rsidR="003114CE">
        <w:rPr>
          <w:rFonts w:ascii="Arial" w:hAnsi="Arial" w:cs="Arial"/>
          <w:color w:val="000000"/>
          <w:sz w:val="23"/>
          <w:szCs w:val="23"/>
        </w:rPr>
        <w:t xml:space="preserve"> </w:t>
      </w:r>
      <w:r w:rsidR="003114CE" w:rsidRPr="003114CE">
        <w:rPr>
          <w:rFonts w:ascii="Arial" w:hAnsi="Arial" w:cs="Arial"/>
          <w:color w:val="000000"/>
          <w:sz w:val="23"/>
          <w:szCs w:val="23"/>
        </w:rPr>
        <w:t xml:space="preserve">pero </w:t>
      </w:r>
      <w:r w:rsidR="003114CE" w:rsidRPr="00E13F3F">
        <w:rPr>
          <w:rFonts w:ascii="Arial" w:hAnsi="Arial" w:cs="Arial"/>
          <w:color w:val="404040"/>
        </w:rPr>
        <w:t>cuando son m</w:t>
      </w:r>
      <w:r w:rsidR="003114CE" w:rsidRPr="00E13F3F">
        <w:rPr>
          <w:rFonts w:ascii="Arial" w:hAnsi="Arial" w:cs="Arial" w:hint="eastAsia"/>
          <w:color w:val="404040"/>
        </w:rPr>
        <w:t>á</w:t>
      </w:r>
      <w:r w:rsidR="003114CE" w:rsidRPr="00E13F3F">
        <w:rPr>
          <w:rFonts w:ascii="Arial" w:hAnsi="Arial" w:cs="Arial"/>
          <w:color w:val="404040"/>
        </w:rPr>
        <w:t>s de 5 d</w:t>
      </w:r>
      <w:r w:rsidR="003114CE" w:rsidRPr="00E13F3F">
        <w:rPr>
          <w:rFonts w:ascii="Arial" w:hAnsi="Arial" w:cs="Arial" w:hint="eastAsia"/>
          <w:color w:val="404040"/>
        </w:rPr>
        <w:t>í</w:t>
      </w:r>
      <w:r w:rsidR="003114CE" w:rsidRPr="00E13F3F">
        <w:rPr>
          <w:rFonts w:ascii="Arial" w:hAnsi="Arial" w:cs="Arial"/>
          <w:color w:val="404040"/>
        </w:rPr>
        <w:t>as se reflejan mayores valores. Se deja como compromiso que Gesti</w:t>
      </w:r>
      <w:r w:rsidR="003114CE" w:rsidRPr="00E13F3F">
        <w:rPr>
          <w:rFonts w:ascii="Arial" w:hAnsi="Arial" w:cs="Arial" w:hint="eastAsia"/>
          <w:color w:val="404040"/>
        </w:rPr>
        <w:t>ó</w:t>
      </w:r>
      <w:r w:rsidR="003114CE" w:rsidRPr="00E13F3F">
        <w:rPr>
          <w:rFonts w:ascii="Arial" w:hAnsi="Arial" w:cs="Arial"/>
          <w:color w:val="404040"/>
        </w:rPr>
        <w:t>n Humana envié a Jur</w:t>
      </w:r>
      <w:r w:rsidR="003114CE" w:rsidRPr="00E13F3F">
        <w:rPr>
          <w:rFonts w:ascii="Arial" w:hAnsi="Arial" w:cs="Arial" w:hint="eastAsia"/>
          <w:color w:val="404040"/>
        </w:rPr>
        <w:t>í</w:t>
      </w:r>
      <w:r w:rsidR="003114CE" w:rsidRPr="00E13F3F">
        <w:rPr>
          <w:rFonts w:ascii="Arial" w:hAnsi="Arial" w:cs="Arial"/>
          <w:color w:val="404040"/>
        </w:rPr>
        <w:t>dica un listado de incapacidades detallado y que est</w:t>
      </w:r>
      <w:r w:rsidR="003114CE" w:rsidRPr="00E13F3F">
        <w:rPr>
          <w:rFonts w:ascii="Arial" w:hAnsi="Arial" w:cs="Arial" w:hint="eastAsia"/>
          <w:color w:val="404040"/>
        </w:rPr>
        <w:t>é</w:t>
      </w:r>
      <w:r w:rsidR="003114CE" w:rsidRPr="00E13F3F">
        <w:rPr>
          <w:rFonts w:ascii="Arial" w:hAnsi="Arial" w:cs="Arial"/>
          <w:color w:val="404040"/>
        </w:rPr>
        <w:t>n en el rango del 50% de una U.V.T ($17.800), una vez se tenga esta respuesta</w:t>
      </w:r>
      <w:r w:rsidR="0044182F" w:rsidRPr="00E13F3F">
        <w:rPr>
          <w:rFonts w:ascii="Arial" w:hAnsi="Arial" w:cs="Arial"/>
          <w:color w:val="404040"/>
        </w:rPr>
        <w:t>,</w:t>
      </w:r>
      <w:r w:rsidR="003114CE" w:rsidRPr="00E13F3F">
        <w:rPr>
          <w:rFonts w:ascii="Arial" w:hAnsi="Arial" w:cs="Arial"/>
          <w:color w:val="404040"/>
        </w:rPr>
        <w:t xml:space="preserve"> se debe solicitar sesi</w:t>
      </w:r>
      <w:r w:rsidR="003114CE" w:rsidRPr="00E13F3F">
        <w:rPr>
          <w:rFonts w:ascii="Arial" w:hAnsi="Arial" w:cs="Arial" w:hint="eastAsia"/>
          <w:color w:val="404040"/>
        </w:rPr>
        <w:t>ó</w:t>
      </w:r>
      <w:r w:rsidR="003114CE" w:rsidRPr="00E13F3F">
        <w:rPr>
          <w:rFonts w:ascii="Arial" w:hAnsi="Arial" w:cs="Arial"/>
          <w:color w:val="404040"/>
        </w:rPr>
        <w:t>n del comit</w:t>
      </w:r>
      <w:r w:rsidR="003114CE" w:rsidRPr="00E13F3F">
        <w:rPr>
          <w:rFonts w:ascii="Arial" w:hAnsi="Arial" w:cs="Arial" w:hint="eastAsia"/>
          <w:color w:val="404040"/>
        </w:rPr>
        <w:t>é</w:t>
      </w:r>
      <w:r w:rsidR="003114CE" w:rsidRPr="00E13F3F">
        <w:rPr>
          <w:rFonts w:ascii="Arial" w:hAnsi="Arial" w:cs="Arial"/>
          <w:color w:val="404040"/>
        </w:rPr>
        <w:t xml:space="preserve"> para socializaci</w:t>
      </w:r>
      <w:r w:rsidR="003114CE" w:rsidRPr="00E13F3F">
        <w:rPr>
          <w:rFonts w:ascii="Arial" w:hAnsi="Arial" w:cs="Arial" w:hint="eastAsia"/>
          <w:color w:val="404040"/>
        </w:rPr>
        <w:t>ó</w:t>
      </w:r>
      <w:r w:rsidR="003114CE" w:rsidRPr="00E13F3F">
        <w:rPr>
          <w:rFonts w:ascii="Arial" w:hAnsi="Arial" w:cs="Arial"/>
          <w:color w:val="404040"/>
        </w:rPr>
        <w:t>n y aprobaci</w:t>
      </w:r>
      <w:r w:rsidR="003114CE" w:rsidRPr="00E13F3F">
        <w:rPr>
          <w:rFonts w:ascii="Arial" w:hAnsi="Arial" w:cs="Arial" w:hint="eastAsia"/>
          <w:color w:val="404040"/>
        </w:rPr>
        <w:t>ó</w:t>
      </w:r>
      <w:r w:rsidR="003114CE" w:rsidRPr="00E13F3F">
        <w:rPr>
          <w:rFonts w:ascii="Arial" w:hAnsi="Arial" w:cs="Arial"/>
          <w:color w:val="404040"/>
        </w:rPr>
        <w:t>n de las mismas.</w:t>
      </w:r>
    </w:p>
    <w:p w:rsidR="0044182F" w:rsidRPr="00E13F3F" w:rsidRDefault="0044182F" w:rsidP="003114CE">
      <w:pPr>
        <w:autoSpaceDE w:val="0"/>
        <w:autoSpaceDN w:val="0"/>
        <w:adjustRightInd w:val="0"/>
        <w:jc w:val="both"/>
        <w:rPr>
          <w:rFonts w:ascii="Arial" w:hAnsi="Arial" w:cs="Arial"/>
          <w:color w:val="404040"/>
        </w:rPr>
      </w:pPr>
    </w:p>
    <w:p w:rsidR="0044182F" w:rsidRPr="00E13F3F" w:rsidRDefault="0044182F" w:rsidP="00EB63D4">
      <w:pPr>
        <w:autoSpaceDE w:val="0"/>
        <w:autoSpaceDN w:val="0"/>
        <w:adjustRightInd w:val="0"/>
        <w:jc w:val="both"/>
        <w:rPr>
          <w:rFonts w:ascii="Arial" w:hAnsi="Arial" w:cs="Arial"/>
          <w:color w:val="404040"/>
        </w:rPr>
      </w:pPr>
      <w:r w:rsidRPr="00E13F3F">
        <w:rPr>
          <w:rFonts w:ascii="Arial" w:hAnsi="Arial" w:cs="Arial"/>
          <w:color w:val="404040"/>
        </w:rPr>
        <w:t xml:space="preserve">3. Procesos que se encuentran en proceso de cobro por parte de la UGPP – Gestión Humana: Se </w:t>
      </w:r>
      <w:r w:rsidR="00C60C95" w:rsidRPr="00E13F3F">
        <w:rPr>
          <w:rFonts w:ascii="Arial" w:hAnsi="Arial" w:cs="Arial"/>
          <w:color w:val="404040"/>
        </w:rPr>
        <w:t>está</w:t>
      </w:r>
      <w:r w:rsidRPr="00E13F3F">
        <w:rPr>
          <w:rFonts w:ascii="Arial" w:hAnsi="Arial" w:cs="Arial"/>
          <w:color w:val="404040"/>
        </w:rPr>
        <w:t xml:space="preserve"> haciendo las consultas pertinentes ante del Ministerio de Hacienda y la UGPP para definir la afectación en la contabilidad</w:t>
      </w:r>
      <w:r w:rsidR="00EB63D4" w:rsidRPr="00E13F3F">
        <w:rPr>
          <w:rFonts w:ascii="Arial" w:hAnsi="Arial" w:cs="Arial"/>
          <w:color w:val="404040"/>
        </w:rPr>
        <w:t>,</w:t>
      </w:r>
      <w:r w:rsidRPr="00E13F3F">
        <w:rPr>
          <w:rFonts w:ascii="Arial" w:hAnsi="Arial" w:cs="Arial"/>
          <w:color w:val="404040"/>
        </w:rPr>
        <w:t xml:space="preserve"> al cierre de la</w:t>
      </w:r>
      <w:r w:rsidR="00E159C5" w:rsidRPr="00E13F3F">
        <w:rPr>
          <w:rFonts w:ascii="Arial" w:hAnsi="Arial" w:cs="Arial"/>
          <w:color w:val="404040"/>
        </w:rPr>
        <w:t xml:space="preserve"> presente</w:t>
      </w:r>
      <w:r w:rsidRPr="00E13F3F">
        <w:rPr>
          <w:rFonts w:ascii="Arial" w:hAnsi="Arial" w:cs="Arial"/>
          <w:color w:val="404040"/>
        </w:rPr>
        <w:t xml:space="preserve"> vigencia. </w:t>
      </w:r>
    </w:p>
    <w:p w:rsidR="0044182F" w:rsidRDefault="0044182F" w:rsidP="0044182F">
      <w:pPr>
        <w:autoSpaceDE w:val="0"/>
        <w:autoSpaceDN w:val="0"/>
        <w:adjustRightInd w:val="0"/>
        <w:jc w:val="both"/>
        <w:rPr>
          <w:rFonts w:ascii="Arial" w:hAnsi="Arial" w:cs="Arial"/>
          <w:color w:val="000000"/>
          <w:sz w:val="23"/>
          <w:szCs w:val="23"/>
        </w:rPr>
      </w:pPr>
    </w:p>
    <w:p w:rsidR="00612DEF" w:rsidRPr="00612DEF" w:rsidRDefault="0089173F" w:rsidP="0098514F">
      <w:pPr>
        <w:pStyle w:val="Prrafodelista"/>
        <w:numPr>
          <w:ilvl w:val="0"/>
          <w:numId w:val="19"/>
        </w:numPr>
        <w:autoSpaceDE w:val="0"/>
        <w:autoSpaceDN w:val="0"/>
        <w:adjustRightInd w:val="0"/>
        <w:jc w:val="both"/>
        <w:rPr>
          <w:rFonts w:ascii="Arial" w:hAnsi="Arial" w:cs="Arial"/>
          <w:color w:val="404040"/>
        </w:rPr>
      </w:pPr>
      <w:r w:rsidRPr="0090076D">
        <w:rPr>
          <w:rFonts w:ascii="Arial" w:hAnsi="Arial" w:cs="Arial"/>
          <w:b/>
          <w:color w:val="000000"/>
          <w:sz w:val="23"/>
          <w:szCs w:val="23"/>
        </w:rPr>
        <w:t>Riesgos del Proceso de Gestión Financiera</w:t>
      </w:r>
      <w:r w:rsidR="00A36BA9" w:rsidRPr="003114CE">
        <w:rPr>
          <w:rFonts w:ascii="Arial" w:hAnsi="Arial" w:cs="Arial"/>
          <w:color w:val="000000"/>
          <w:sz w:val="23"/>
          <w:szCs w:val="23"/>
        </w:rPr>
        <w:t xml:space="preserve">: </w:t>
      </w:r>
    </w:p>
    <w:p w:rsidR="00612DEF" w:rsidRDefault="00612DEF" w:rsidP="00612DEF">
      <w:pPr>
        <w:pStyle w:val="Prrafodelista"/>
        <w:autoSpaceDE w:val="0"/>
        <w:autoSpaceDN w:val="0"/>
        <w:adjustRightInd w:val="0"/>
        <w:jc w:val="both"/>
        <w:rPr>
          <w:rFonts w:ascii="Arial" w:hAnsi="Arial" w:cs="Arial"/>
          <w:b/>
          <w:color w:val="000000"/>
          <w:sz w:val="23"/>
          <w:szCs w:val="23"/>
        </w:rPr>
      </w:pPr>
    </w:p>
    <w:p w:rsidR="00A36BA9" w:rsidRPr="00612DEF" w:rsidRDefault="00140E28" w:rsidP="00612DEF">
      <w:pPr>
        <w:autoSpaceDE w:val="0"/>
        <w:autoSpaceDN w:val="0"/>
        <w:adjustRightInd w:val="0"/>
        <w:jc w:val="both"/>
        <w:rPr>
          <w:rFonts w:ascii="Arial" w:hAnsi="Arial" w:cs="Arial"/>
          <w:color w:val="404040"/>
        </w:rPr>
      </w:pPr>
      <w:r w:rsidRPr="00612DEF">
        <w:rPr>
          <w:rFonts w:ascii="Arial" w:hAnsi="Arial" w:cs="Arial"/>
          <w:color w:val="404040"/>
        </w:rPr>
        <w:t xml:space="preserve">Para la vigencia 2020, </w:t>
      </w:r>
      <w:r w:rsidR="00612DEF" w:rsidRPr="00612DEF">
        <w:rPr>
          <w:rFonts w:ascii="Arial" w:hAnsi="Arial" w:cs="Arial"/>
          <w:color w:val="404040"/>
        </w:rPr>
        <w:t>el Proceso de Gestión Financiera identific</w:t>
      </w:r>
      <w:r w:rsidR="00356AB0">
        <w:rPr>
          <w:rFonts w:ascii="Arial" w:hAnsi="Arial" w:cs="Arial"/>
          <w:color w:val="404040"/>
        </w:rPr>
        <w:t>ó</w:t>
      </w:r>
      <w:r w:rsidRPr="00612DEF">
        <w:rPr>
          <w:rFonts w:ascii="Arial" w:hAnsi="Arial" w:cs="Arial"/>
          <w:color w:val="404040"/>
        </w:rPr>
        <w:t xml:space="preserve"> los siguientes riesgos:</w:t>
      </w:r>
    </w:p>
    <w:p w:rsidR="00F60646" w:rsidRPr="003114CE" w:rsidRDefault="00F60646" w:rsidP="00F60646">
      <w:pPr>
        <w:pStyle w:val="Prrafodelista"/>
        <w:autoSpaceDE w:val="0"/>
        <w:autoSpaceDN w:val="0"/>
        <w:adjustRightInd w:val="0"/>
        <w:jc w:val="both"/>
        <w:rPr>
          <w:rFonts w:ascii="Arial" w:hAnsi="Arial" w:cs="Arial"/>
          <w:color w:val="000000"/>
          <w:sz w:val="23"/>
          <w:szCs w:val="23"/>
        </w:rPr>
      </w:pPr>
    </w:p>
    <w:tbl>
      <w:tblPr>
        <w:tblStyle w:val="Tablaconcuadrcula6concolores-nfasis3"/>
        <w:tblW w:w="9091" w:type="dxa"/>
        <w:tblInd w:w="5" w:type="dxa"/>
        <w:tblLook w:val="04A0" w:firstRow="1" w:lastRow="0" w:firstColumn="1" w:lastColumn="0" w:noHBand="0" w:noVBand="1"/>
      </w:tblPr>
      <w:tblGrid>
        <w:gridCol w:w="2162"/>
        <w:gridCol w:w="1514"/>
        <w:gridCol w:w="2977"/>
        <w:gridCol w:w="2438"/>
      </w:tblGrid>
      <w:tr w:rsidR="004E3426" w:rsidRPr="003B3D68" w:rsidTr="00235FF8">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162" w:type="dxa"/>
          </w:tcPr>
          <w:p w:rsidR="004E3426" w:rsidRPr="003B3D68" w:rsidRDefault="004E3426" w:rsidP="00A36BA9">
            <w:pPr>
              <w:pStyle w:val="Prrafodelista"/>
              <w:autoSpaceDE w:val="0"/>
              <w:autoSpaceDN w:val="0"/>
              <w:adjustRightInd w:val="0"/>
              <w:ind w:left="0"/>
              <w:jc w:val="center"/>
              <w:rPr>
                <w:rFonts w:asciiTheme="majorHAnsi" w:hAnsiTheme="majorHAnsi" w:cstheme="majorHAnsi"/>
                <w:sz w:val="20"/>
                <w:szCs w:val="20"/>
              </w:rPr>
            </w:pPr>
            <w:r w:rsidRPr="003B3D68">
              <w:rPr>
                <w:rFonts w:asciiTheme="majorHAnsi" w:hAnsiTheme="majorHAnsi" w:cstheme="majorHAnsi"/>
                <w:sz w:val="20"/>
                <w:szCs w:val="20"/>
              </w:rPr>
              <w:t>Riesgo</w:t>
            </w:r>
          </w:p>
        </w:tc>
        <w:tc>
          <w:tcPr>
            <w:tcW w:w="1514" w:type="dxa"/>
          </w:tcPr>
          <w:p w:rsidR="004E3426" w:rsidRPr="003B3D68" w:rsidRDefault="004E3426"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B3D68">
              <w:rPr>
                <w:rFonts w:asciiTheme="majorHAnsi" w:hAnsiTheme="majorHAnsi" w:cstheme="majorHAnsi"/>
                <w:sz w:val="20"/>
                <w:szCs w:val="20"/>
              </w:rPr>
              <w:t>Tipo</w:t>
            </w:r>
          </w:p>
        </w:tc>
        <w:tc>
          <w:tcPr>
            <w:tcW w:w="2977" w:type="dxa"/>
          </w:tcPr>
          <w:p w:rsidR="004E3426" w:rsidRPr="003B3D68" w:rsidRDefault="004E3426"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B3D68">
              <w:rPr>
                <w:rFonts w:asciiTheme="majorHAnsi" w:hAnsiTheme="majorHAnsi" w:cstheme="majorHAnsi"/>
                <w:sz w:val="20"/>
                <w:szCs w:val="20"/>
              </w:rPr>
              <w:t>Causas</w:t>
            </w:r>
          </w:p>
          <w:p w:rsidR="004E3426" w:rsidRPr="003B3D68" w:rsidRDefault="004E3426"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38" w:type="dxa"/>
          </w:tcPr>
          <w:p w:rsidR="004E3426" w:rsidRPr="003B3D68" w:rsidRDefault="00235FF8"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B3D68">
              <w:rPr>
                <w:rFonts w:asciiTheme="majorHAnsi" w:hAnsiTheme="majorHAnsi" w:cstheme="majorHAnsi"/>
                <w:sz w:val="20"/>
                <w:szCs w:val="20"/>
              </w:rPr>
              <w:t>Reportes SGI</w:t>
            </w:r>
          </w:p>
        </w:tc>
      </w:tr>
      <w:tr w:rsidR="004E3426" w:rsidRPr="003B3D68" w:rsidTr="00235FF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162" w:type="dxa"/>
          </w:tcPr>
          <w:p w:rsidR="004E3426" w:rsidRPr="003B3D68" w:rsidRDefault="00235FF8" w:rsidP="0089173F">
            <w:pPr>
              <w:pStyle w:val="Prrafodelista"/>
              <w:autoSpaceDE w:val="0"/>
              <w:autoSpaceDN w:val="0"/>
              <w:adjustRightInd w:val="0"/>
              <w:ind w:left="0"/>
              <w:jc w:val="both"/>
              <w:rPr>
                <w:rFonts w:asciiTheme="majorHAnsi" w:hAnsiTheme="majorHAnsi" w:cstheme="majorHAnsi"/>
                <w:b w:val="0"/>
                <w:color w:val="000000"/>
                <w:sz w:val="20"/>
                <w:szCs w:val="20"/>
              </w:rPr>
            </w:pPr>
            <w:r w:rsidRPr="003B3D68">
              <w:rPr>
                <w:rFonts w:asciiTheme="majorHAnsi" w:hAnsiTheme="majorHAnsi" w:cstheme="majorHAnsi"/>
                <w:b w:val="0"/>
                <w:color w:val="000000"/>
                <w:sz w:val="20"/>
                <w:szCs w:val="20"/>
              </w:rPr>
              <w:t>Destinación de recursos públicos de forma indebida en favor de un privado o tercero.</w:t>
            </w:r>
          </w:p>
        </w:tc>
        <w:tc>
          <w:tcPr>
            <w:tcW w:w="1514" w:type="dxa"/>
          </w:tcPr>
          <w:p w:rsidR="004E3426" w:rsidRPr="003B3D68" w:rsidRDefault="00235FF8"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Corrupción</w:t>
            </w:r>
          </w:p>
        </w:tc>
        <w:tc>
          <w:tcPr>
            <w:tcW w:w="2977" w:type="dxa"/>
          </w:tcPr>
          <w:p w:rsidR="004E3426" w:rsidRPr="003B3D68" w:rsidRDefault="00235FF8" w:rsidP="00F4407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B3D68">
              <w:rPr>
                <w:rFonts w:asciiTheme="majorHAnsi" w:hAnsiTheme="majorHAnsi" w:cstheme="majorHAnsi"/>
                <w:color w:val="000000"/>
                <w:sz w:val="20"/>
                <w:szCs w:val="20"/>
              </w:rPr>
              <w:t>Abuso de poder</w:t>
            </w:r>
            <w:r w:rsidRPr="003B3D68">
              <w:rPr>
                <w:rFonts w:asciiTheme="majorHAnsi" w:hAnsiTheme="majorHAnsi" w:cstheme="majorHAnsi"/>
                <w:sz w:val="20"/>
                <w:szCs w:val="20"/>
              </w:rPr>
              <w:t xml:space="preserve"> </w:t>
            </w:r>
          </w:p>
          <w:p w:rsidR="00235FF8" w:rsidRPr="003B3D68" w:rsidRDefault="00235FF8" w:rsidP="00F4407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Tráfico de influencias</w:t>
            </w:r>
          </w:p>
          <w:p w:rsidR="00235FF8" w:rsidRPr="003B3D68" w:rsidRDefault="00235FF8" w:rsidP="00F4407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Desconocimiento o inadecuada aplicación de la normativa vigente, de lineamientos y procedimientos</w:t>
            </w:r>
          </w:p>
        </w:tc>
        <w:tc>
          <w:tcPr>
            <w:tcW w:w="2438" w:type="dxa"/>
          </w:tcPr>
          <w:p w:rsidR="004E3426" w:rsidRPr="003B3D68" w:rsidRDefault="00235FF8" w:rsidP="00F4407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Durante la vigencia se han realizado los registros de seguimiento a las acciones preventivas</w:t>
            </w:r>
          </w:p>
        </w:tc>
      </w:tr>
      <w:tr w:rsidR="004E3426" w:rsidRPr="003B3D68" w:rsidTr="00235FF8">
        <w:trPr>
          <w:trHeight w:val="143"/>
        </w:trPr>
        <w:tc>
          <w:tcPr>
            <w:cnfStyle w:val="001000000000" w:firstRow="0" w:lastRow="0" w:firstColumn="1" w:lastColumn="0" w:oddVBand="0" w:evenVBand="0" w:oddHBand="0" w:evenHBand="0" w:firstRowFirstColumn="0" w:firstRowLastColumn="0" w:lastRowFirstColumn="0" w:lastRowLastColumn="0"/>
            <w:tcW w:w="2162" w:type="dxa"/>
          </w:tcPr>
          <w:p w:rsidR="004E3426" w:rsidRPr="003B3D68" w:rsidRDefault="00235FF8" w:rsidP="0089173F">
            <w:pPr>
              <w:pStyle w:val="Prrafodelista"/>
              <w:autoSpaceDE w:val="0"/>
              <w:autoSpaceDN w:val="0"/>
              <w:adjustRightInd w:val="0"/>
              <w:ind w:left="0"/>
              <w:jc w:val="both"/>
              <w:rPr>
                <w:rFonts w:asciiTheme="majorHAnsi" w:hAnsiTheme="majorHAnsi" w:cstheme="majorHAnsi"/>
                <w:b w:val="0"/>
                <w:color w:val="000000"/>
                <w:sz w:val="20"/>
                <w:szCs w:val="20"/>
              </w:rPr>
            </w:pPr>
            <w:r w:rsidRPr="003B3D68">
              <w:rPr>
                <w:rFonts w:asciiTheme="majorHAnsi" w:hAnsiTheme="majorHAnsi" w:cstheme="majorHAnsi"/>
                <w:b w:val="0"/>
                <w:color w:val="000000"/>
                <w:sz w:val="20"/>
                <w:szCs w:val="20"/>
              </w:rPr>
              <w:t>Incumplimiento de las metas Institucionales asociado a la gestión de recursos</w:t>
            </w:r>
          </w:p>
        </w:tc>
        <w:tc>
          <w:tcPr>
            <w:tcW w:w="1514" w:type="dxa"/>
          </w:tcPr>
          <w:p w:rsidR="004E3426" w:rsidRPr="00356AB0" w:rsidRDefault="00235FF8" w:rsidP="0040018B">
            <w:pPr>
              <w:pStyle w:val="Prrafodelista"/>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Gestión</w:t>
            </w:r>
          </w:p>
        </w:tc>
        <w:tc>
          <w:tcPr>
            <w:tcW w:w="2977" w:type="dxa"/>
          </w:tcPr>
          <w:p w:rsidR="004E3426" w:rsidRPr="00356AB0" w:rsidRDefault="00235FF8" w:rsidP="0040018B">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Desconocimiento normativo</w:t>
            </w:r>
          </w:p>
          <w:p w:rsidR="00235FF8" w:rsidRPr="00356AB0" w:rsidRDefault="00235FF8" w:rsidP="0040018B">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Falta de aplicación de los procedimientos asociados al proceso.</w:t>
            </w:r>
          </w:p>
          <w:p w:rsidR="00235FF8" w:rsidRPr="00356AB0" w:rsidRDefault="00235FF8" w:rsidP="0040018B">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Inoportunidad en la gestión contractual financiera y administrativa.</w:t>
            </w:r>
          </w:p>
        </w:tc>
        <w:tc>
          <w:tcPr>
            <w:tcW w:w="2438" w:type="dxa"/>
          </w:tcPr>
          <w:p w:rsidR="004E3426" w:rsidRPr="003B3D68" w:rsidRDefault="002605FE" w:rsidP="0040018B">
            <w:pPr>
              <w:pStyle w:val="Prrafodelista"/>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Cada dos meses se registran los avances de las acciones establecidas en el SGI.</w:t>
            </w:r>
          </w:p>
        </w:tc>
      </w:tr>
      <w:tr w:rsidR="004E3426" w:rsidRPr="003B3D68" w:rsidTr="00235FF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162" w:type="dxa"/>
          </w:tcPr>
          <w:p w:rsidR="004E3426" w:rsidRPr="003B3D68" w:rsidRDefault="002605FE" w:rsidP="0089173F">
            <w:pPr>
              <w:pStyle w:val="Prrafodelista"/>
              <w:autoSpaceDE w:val="0"/>
              <w:autoSpaceDN w:val="0"/>
              <w:adjustRightInd w:val="0"/>
              <w:ind w:left="0"/>
              <w:jc w:val="both"/>
              <w:rPr>
                <w:rFonts w:asciiTheme="majorHAnsi" w:hAnsiTheme="majorHAnsi" w:cstheme="majorHAnsi"/>
                <w:b w:val="0"/>
                <w:color w:val="000000"/>
                <w:sz w:val="20"/>
                <w:szCs w:val="20"/>
              </w:rPr>
            </w:pPr>
            <w:r w:rsidRPr="003B3D68">
              <w:rPr>
                <w:rFonts w:asciiTheme="majorHAnsi" w:hAnsiTheme="majorHAnsi" w:cstheme="majorHAnsi"/>
                <w:b w:val="0"/>
                <w:color w:val="000000"/>
                <w:sz w:val="20"/>
                <w:szCs w:val="20"/>
              </w:rPr>
              <w:t>Incumplimiento normativo en el desarrollo de actividades Financieras, contractuales y administrativas.</w:t>
            </w:r>
          </w:p>
        </w:tc>
        <w:tc>
          <w:tcPr>
            <w:tcW w:w="1514" w:type="dxa"/>
          </w:tcPr>
          <w:p w:rsidR="004E3426" w:rsidRPr="00356AB0" w:rsidRDefault="002605FE"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Gestión</w:t>
            </w:r>
          </w:p>
        </w:tc>
        <w:tc>
          <w:tcPr>
            <w:tcW w:w="2977" w:type="dxa"/>
          </w:tcPr>
          <w:p w:rsidR="004E3426" w:rsidRPr="00356AB0" w:rsidRDefault="002605FE"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Desconocimiento de la normatividad.</w:t>
            </w:r>
          </w:p>
          <w:p w:rsidR="002605FE" w:rsidRPr="00356AB0" w:rsidRDefault="002605FE"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56AB0">
              <w:rPr>
                <w:rFonts w:asciiTheme="majorHAnsi" w:hAnsiTheme="majorHAnsi" w:cstheme="majorHAnsi"/>
                <w:color w:val="000000"/>
                <w:sz w:val="20"/>
                <w:szCs w:val="20"/>
              </w:rPr>
              <w:t>Aplicación indebida de los procedimientos internos.</w:t>
            </w:r>
          </w:p>
          <w:p w:rsidR="002605FE" w:rsidRPr="00356AB0" w:rsidRDefault="002605FE"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rsidR="002605FE" w:rsidRPr="00356AB0" w:rsidRDefault="002605FE"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2438" w:type="dxa"/>
          </w:tcPr>
          <w:p w:rsidR="004E3426" w:rsidRPr="003B3D68" w:rsidRDefault="002605FE"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B3D68">
              <w:rPr>
                <w:rFonts w:asciiTheme="majorHAnsi" w:hAnsiTheme="majorHAnsi" w:cstheme="majorHAnsi"/>
                <w:color w:val="000000"/>
                <w:sz w:val="20"/>
                <w:szCs w:val="20"/>
              </w:rPr>
              <w:t>Se evidencia el registro bimestral sobre los avances de las acciones en el SGI</w:t>
            </w:r>
          </w:p>
        </w:tc>
      </w:tr>
    </w:tbl>
    <w:p w:rsidR="0089173F" w:rsidRPr="004D0E9B" w:rsidRDefault="00F67175" w:rsidP="00F67175">
      <w:pPr>
        <w:autoSpaceDE w:val="0"/>
        <w:autoSpaceDN w:val="0"/>
        <w:adjustRightInd w:val="0"/>
        <w:jc w:val="both"/>
        <w:rPr>
          <w:rFonts w:ascii="Arial" w:hAnsi="Arial" w:cs="Arial"/>
          <w:b/>
          <w:i/>
          <w:color w:val="000000"/>
          <w:sz w:val="14"/>
          <w:szCs w:val="14"/>
        </w:rPr>
      </w:pPr>
      <w:r w:rsidRPr="004D0E9B">
        <w:rPr>
          <w:rFonts w:ascii="Arial" w:hAnsi="Arial" w:cs="Arial"/>
          <w:b/>
          <w:i/>
          <w:color w:val="000000"/>
          <w:sz w:val="14"/>
          <w:szCs w:val="14"/>
        </w:rPr>
        <w:t>Fuente: Sistema de Gestión Institucional- SGI</w:t>
      </w:r>
    </w:p>
    <w:p w:rsidR="0089173F" w:rsidRDefault="0089173F" w:rsidP="0089173F">
      <w:pPr>
        <w:pStyle w:val="Prrafodelista"/>
        <w:autoSpaceDE w:val="0"/>
        <w:autoSpaceDN w:val="0"/>
        <w:adjustRightInd w:val="0"/>
        <w:jc w:val="both"/>
        <w:rPr>
          <w:rFonts w:ascii="Arial" w:hAnsi="Arial" w:cs="Arial"/>
          <w:color w:val="000000"/>
        </w:rPr>
      </w:pPr>
    </w:p>
    <w:p w:rsidR="00140E28" w:rsidRDefault="00140E28" w:rsidP="00140E28">
      <w:pPr>
        <w:autoSpaceDE w:val="0"/>
        <w:autoSpaceDN w:val="0"/>
        <w:adjustRightInd w:val="0"/>
        <w:jc w:val="both"/>
        <w:rPr>
          <w:rFonts w:ascii="Arial" w:hAnsi="Arial" w:cs="Arial"/>
          <w:color w:val="404040"/>
        </w:rPr>
      </w:pPr>
      <w:r w:rsidRPr="00E13F3F">
        <w:rPr>
          <w:rFonts w:ascii="Arial" w:hAnsi="Arial" w:cs="Arial"/>
          <w:color w:val="404040"/>
        </w:rPr>
        <w:t xml:space="preserve">Los enlaces del proceso financiero participaron en los Talleres de Capacitación que se adelantaron bajo la asesoría de la Dirección de Gestión y Desempeño Institucional – DGDI y en el taller piloto de identificación de riesgos en el Proceso de Talento Humano, bajo la nueva metodología de riesgos que la DGDI se encuentra elaborando y que será la guía con la cual todos los procesos </w:t>
      </w:r>
      <w:r w:rsidR="002B3A29" w:rsidRPr="00E13F3F">
        <w:rPr>
          <w:rFonts w:ascii="Arial" w:hAnsi="Arial" w:cs="Arial"/>
          <w:color w:val="404040"/>
        </w:rPr>
        <w:t>gestionaran los riesgos en la próxima vigencia.</w:t>
      </w:r>
    </w:p>
    <w:p w:rsidR="00612DEF" w:rsidRPr="00E13F3F" w:rsidRDefault="00612DEF" w:rsidP="00140E28">
      <w:pPr>
        <w:autoSpaceDE w:val="0"/>
        <w:autoSpaceDN w:val="0"/>
        <w:adjustRightInd w:val="0"/>
        <w:jc w:val="both"/>
        <w:rPr>
          <w:rFonts w:ascii="Arial" w:hAnsi="Arial" w:cs="Arial"/>
          <w:color w:val="404040"/>
        </w:rPr>
      </w:pPr>
    </w:p>
    <w:p w:rsidR="002B3A29" w:rsidRDefault="002B3A29" w:rsidP="002B3A29">
      <w:pPr>
        <w:pStyle w:val="Prrafodelista"/>
        <w:numPr>
          <w:ilvl w:val="0"/>
          <w:numId w:val="19"/>
        </w:numPr>
        <w:autoSpaceDE w:val="0"/>
        <w:autoSpaceDN w:val="0"/>
        <w:adjustRightInd w:val="0"/>
        <w:jc w:val="both"/>
        <w:rPr>
          <w:rFonts w:ascii="Arial" w:hAnsi="Arial" w:cs="Arial"/>
          <w:b/>
          <w:color w:val="000000"/>
          <w:sz w:val="23"/>
          <w:szCs w:val="23"/>
        </w:rPr>
      </w:pPr>
      <w:r w:rsidRPr="002B3A29">
        <w:rPr>
          <w:rFonts w:ascii="Arial" w:hAnsi="Arial" w:cs="Arial"/>
          <w:b/>
          <w:color w:val="000000"/>
          <w:sz w:val="23"/>
          <w:szCs w:val="23"/>
        </w:rPr>
        <w:t>Gestión Incapacidades</w:t>
      </w:r>
    </w:p>
    <w:p w:rsidR="002B3A29" w:rsidRDefault="002B3A29" w:rsidP="002B3A29">
      <w:pPr>
        <w:autoSpaceDE w:val="0"/>
        <w:autoSpaceDN w:val="0"/>
        <w:adjustRightInd w:val="0"/>
        <w:jc w:val="both"/>
        <w:rPr>
          <w:rFonts w:ascii="Arial" w:hAnsi="Arial" w:cs="Arial"/>
          <w:b/>
          <w:color w:val="000000"/>
          <w:sz w:val="23"/>
          <w:szCs w:val="23"/>
        </w:rPr>
      </w:pPr>
    </w:p>
    <w:p w:rsidR="002B3A29" w:rsidRPr="00E13F3F" w:rsidRDefault="00FB7611" w:rsidP="002B3A29">
      <w:pPr>
        <w:autoSpaceDE w:val="0"/>
        <w:autoSpaceDN w:val="0"/>
        <w:adjustRightInd w:val="0"/>
        <w:jc w:val="both"/>
        <w:rPr>
          <w:rFonts w:ascii="Arial" w:hAnsi="Arial" w:cs="Arial"/>
          <w:color w:val="404040"/>
        </w:rPr>
      </w:pPr>
      <w:r w:rsidRPr="00E13F3F">
        <w:rPr>
          <w:rFonts w:ascii="Arial" w:hAnsi="Arial" w:cs="Arial"/>
          <w:color w:val="404040"/>
        </w:rPr>
        <w:t>El Grupo de Gestión Humana, como encargada de gestionar el proceso</w:t>
      </w:r>
      <w:r w:rsidR="00E80EE6" w:rsidRPr="00E13F3F">
        <w:rPr>
          <w:rFonts w:ascii="Arial" w:hAnsi="Arial" w:cs="Arial"/>
          <w:color w:val="404040"/>
        </w:rPr>
        <w:t xml:space="preserve"> de recobro de Incapacidades, Licencias de Maternidad y Paternidad generadas por los servidores del Departamento Administrativo de la Función Pública,</w:t>
      </w:r>
      <w:r w:rsidRPr="00E13F3F">
        <w:rPr>
          <w:rFonts w:ascii="Arial" w:hAnsi="Arial" w:cs="Arial"/>
          <w:color w:val="404040"/>
        </w:rPr>
        <w:t xml:space="preserve"> ante las Entidades de Seguridad Social a nivel Nacional</w:t>
      </w:r>
      <w:r w:rsidR="00E80EE6" w:rsidRPr="00E13F3F">
        <w:rPr>
          <w:rFonts w:ascii="Arial" w:hAnsi="Arial" w:cs="Arial"/>
          <w:color w:val="404040"/>
        </w:rPr>
        <w:t xml:space="preserve">, durante la vigencia ha </w:t>
      </w:r>
      <w:r w:rsidR="00AD0772" w:rsidRPr="00E13F3F">
        <w:rPr>
          <w:rFonts w:ascii="Arial" w:hAnsi="Arial" w:cs="Arial"/>
          <w:color w:val="404040"/>
        </w:rPr>
        <w:t>ejecutado</w:t>
      </w:r>
      <w:r w:rsidR="00E80EE6" w:rsidRPr="00E13F3F">
        <w:rPr>
          <w:rFonts w:ascii="Arial" w:hAnsi="Arial" w:cs="Arial"/>
          <w:color w:val="404040"/>
        </w:rPr>
        <w:t xml:space="preserve"> las siguientes acciones:</w:t>
      </w:r>
    </w:p>
    <w:p w:rsidR="00E80EE6" w:rsidRPr="00E13F3F" w:rsidRDefault="00E80EE6" w:rsidP="002B3A29">
      <w:pPr>
        <w:autoSpaceDE w:val="0"/>
        <w:autoSpaceDN w:val="0"/>
        <w:adjustRightInd w:val="0"/>
        <w:jc w:val="both"/>
        <w:rPr>
          <w:rFonts w:ascii="Arial" w:hAnsi="Arial" w:cs="Arial"/>
          <w:color w:val="404040"/>
        </w:rPr>
      </w:pPr>
    </w:p>
    <w:p w:rsidR="00E80EE6" w:rsidRPr="00E13F3F" w:rsidRDefault="00AC443B" w:rsidP="00AC443B">
      <w:pPr>
        <w:autoSpaceDE w:val="0"/>
        <w:autoSpaceDN w:val="0"/>
        <w:adjustRightInd w:val="0"/>
        <w:jc w:val="both"/>
        <w:rPr>
          <w:rFonts w:ascii="Arial" w:hAnsi="Arial" w:cs="Arial"/>
          <w:color w:val="404040"/>
        </w:rPr>
      </w:pPr>
      <w:r w:rsidRPr="00E13F3F">
        <w:rPr>
          <w:rFonts w:ascii="Arial" w:hAnsi="Arial" w:cs="Arial"/>
          <w:color w:val="404040"/>
        </w:rPr>
        <w:t>1.</w:t>
      </w:r>
      <w:r w:rsidR="004D55BC">
        <w:rPr>
          <w:rFonts w:ascii="Arial" w:hAnsi="Arial" w:cs="Arial"/>
          <w:color w:val="404040"/>
        </w:rPr>
        <w:t xml:space="preserve"> </w:t>
      </w:r>
      <w:r w:rsidR="00E80EE6" w:rsidRPr="00E13F3F">
        <w:rPr>
          <w:rFonts w:ascii="Arial" w:hAnsi="Arial" w:cs="Arial"/>
          <w:color w:val="404040"/>
        </w:rPr>
        <w:t>Solicitud de concepto a la Dirección Jurídica sobre la viabilidad de iniciar acciones judiciales</w:t>
      </w:r>
      <w:r w:rsidR="004D55BC">
        <w:rPr>
          <w:rFonts w:ascii="Arial" w:hAnsi="Arial" w:cs="Arial"/>
          <w:color w:val="404040"/>
        </w:rPr>
        <w:t>,</w:t>
      </w:r>
      <w:r w:rsidR="00E80EE6" w:rsidRPr="00E13F3F">
        <w:rPr>
          <w:rFonts w:ascii="Arial" w:hAnsi="Arial" w:cs="Arial"/>
          <w:color w:val="404040"/>
        </w:rPr>
        <w:t xml:space="preserve"> para la recuperación de saldos por cobrar de incapacidades de los años 2016 a 2018</w:t>
      </w:r>
      <w:r w:rsidR="004D55BC">
        <w:rPr>
          <w:rFonts w:ascii="Arial" w:hAnsi="Arial" w:cs="Arial"/>
          <w:color w:val="404040"/>
        </w:rPr>
        <w:t>,</w:t>
      </w:r>
      <w:r w:rsidR="00E80EE6" w:rsidRPr="00E13F3F">
        <w:rPr>
          <w:rFonts w:ascii="Arial" w:hAnsi="Arial" w:cs="Arial"/>
          <w:color w:val="404040"/>
        </w:rPr>
        <w:t xml:space="preserve"> los cuales, a pesar de realizar las gestiones pertinentes, no se han podido recuperar.</w:t>
      </w:r>
      <w:r w:rsidR="00D96D92" w:rsidRPr="00E13F3F">
        <w:rPr>
          <w:rFonts w:ascii="Arial" w:hAnsi="Arial" w:cs="Arial"/>
          <w:color w:val="404040"/>
        </w:rPr>
        <w:t xml:space="preserve"> De acuerdo con la respuesta emitida por parte de la Dirección Jurídica, los saldos de 2016 por valor de $2.460.384 y de 2017 por valor de $1.735.408, no es posible adelantar cobro Jurídico por cuanto ya prescribieron. Con el fin de que el Comité de Sostenibilidad Contable determine el</w:t>
      </w:r>
      <w:r w:rsidR="00D96D92" w:rsidRPr="00AC443B">
        <w:rPr>
          <w:rFonts w:ascii="Arial" w:hAnsi="Arial" w:cs="Arial"/>
          <w:lang w:val="es-ES"/>
        </w:rPr>
        <w:t xml:space="preserve"> </w:t>
      </w:r>
      <w:r w:rsidR="00D96D92" w:rsidRPr="00E13F3F">
        <w:rPr>
          <w:rFonts w:ascii="Arial" w:hAnsi="Arial" w:cs="Arial"/>
          <w:color w:val="404040"/>
        </w:rPr>
        <w:t xml:space="preserve">procedimiento para dar de baja estos valores, se solicitó al Grupo de Talento Humano, un informe con toda la trazabilidad de la gestión adelantada frente al tema. </w:t>
      </w:r>
    </w:p>
    <w:p w:rsidR="00D96D92" w:rsidRPr="00E13F3F" w:rsidRDefault="00D96D92" w:rsidP="00D96D92">
      <w:pPr>
        <w:pStyle w:val="Prrafodelista"/>
        <w:autoSpaceDE w:val="0"/>
        <w:autoSpaceDN w:val="0"/>
        <w:adjustRightInd w:val="0"/>
        <w:jc w:val="both"/>
        <w:rPr>
          <w:rFonts w:ascii="Arial" w:hAnsi="Arial" w:cs="Arial"/>
          <w:color w:val="404040"/>
        </w:rPr>
      </w:pPr>
    </w:p>
    <w:p w:rsidR="00D96D92" w:rsidRPr="00E13F3F" w:rsidRDefault="00D96D92" w:rsidP="00AC443B">
      <w:pPr>
        <w:autoSpaceDE w:val="0"/>
        <w:autoSpaceDN w:val="0"/>
        <w:adjustRightInd w:val="0"/>
        <w:jc w:val="both"/>
        <w:rPr>
          <w:rFonts w:ascii="Arial" w:hAnsi="Arial" w:cs="Arial"/>
          <w:color w:val="404040"/>
        </w:rPr>
      </w:pPr>
      <w:r w:rsidRPr="00E13F3F">
        <w:rPr>
          <w:rFonts w:ascii="Arial" w:hAnsi="Arial" w:cs="Arial"/>
          <w:color w:val="404040"/>
        </w:rPr>
        <w:t>Para los saldos</w:t>
      </w:r>
      <w:r w:rsidR="007A76CE" w:rsidRPr="00E13F3F">
        <w:rPr>
          <w:rFonts w:ascii="Arial" w:hAnsi="Arial" w:cs="Arial"/>
          <w:color w:val="404040"/>
        </w:rPr>
        <w:t xml:space="preserve"> por cobrar</w:t>
      </w:r>
      <w:r w:rsidRPr="00E13F3F">
        <w:rPr>
          <w:rFonts w:ascii="Arial" w:hAnsi="Arial" w:cs="Arial"/>
          <w:color w:val="404040"/>
        </w:rPr>
        <w:t xml:space="preserve"> de la vigencia 2018, </w:t>
      </w:r>
      <w:r w:rsidR="007A76CE" w:rsidRPr="00E13F3F">
        <w:rPr>
          <w:rFonts w:ascii="Arial" w:hAnsi="Arial" w:cs="Arial"/>
          <w:color w:val="404040"/>
        </w:rPr>
        <w:t xml:space="preserve">la Dirección Jurídica </w:t>
      </w:r>
      <w:r w:rsidRPr="00E13F3F">
        <w:rPr>
          <w:rFonts w:ascii="Arial" w:hAnsi="Arial" w:cs="Arial"/>
          <w:color w:val="404040"/>
        </w:rPr>
        <w:t>adelantar</w:t>
      </w:r>
      <w:r w:rsidR="004D55BC">
        <w:rPr>
          <w:rFonts w:ascii="Arial" w:hAnsi="Arial" w:cs="Arial"/>
          <w:color w:val="404040"/>
        </w:rPr>
        <w:t>á</w:t>
      </w:r>
      <w:r w:rsidRPr="00E13F3F">
        <w:rPr>
          <w:rFonts w:ascii="Arial" w:hAnsi="Arial" w:cs="Arial"/>
          <w:color w:val="404040"/>
        </w:rPr>
        <w:t xml:space="preserve"> el cobro persuasivo y judicial de incapacidades</w:t>
      </w:r>
      <w:r w:rsidR="007A76CE" w:rsidRPr="00E13F3F">
        <w:rPr>
          <w:rFonts w:ascii="Arial" w:hAnsi="Arial" w:cs="Arial"/>
          <w:color w:val="404040"/>
        </w:rPr>
        <w:t xml:space="preserve"> por valor de $3.220.154.</w:t>
      </w:r>
    </w:p>
    <w:p w:rsidR="007A76CE" w:rsidRPr="00E13F3F" w:rsidRDefault="007A76CE" w:rsidP="00D96D92">
      <w:pPr>
        <w:pStyle w:val="Prrafodelista"/>
        <w:autoSpaceDE w:val="0"/>
        <w:autoSpaceDN w:val="0"/>
        <w:adjustRightInd w:val="0"/>
        <w:jc w:val="both"/>
        <w:rPr>
          <w:rFonts w:ascii="Arial" w:hAnsi="Arial" w:cs="Arial"/>
          <w:color w:val="404040"/>
        </w:rPr>
      </w:pPr>
    </w:p>
    <w:p w:rsidR="007A76CE" w:rsidRPr="00E13F3F" w:rsidRDefault="007A76CE" w:rsidP="00AC443B">
      <w:pPr>
        <w:autoSpaceDE w:val="0"/>
        <w:autoSpaceDN w:val="0"/>
        <w:adjustRightInd w:val="0"/>
        <w:jc w:val="both"/>
        <w:rPr>
          <w:rFonts w:ascii="Arial" w:hAnsi="Arial" w:cs="Arial"/>
          <w:color w:val="404040"/>
        </w:rPr>
      </w:pPr>
      <w:r w:rsidRPr="00E13F3F">
        <w:rPr>
          <w:rFonts w:ascii="Arial" w:hAnsi="Arial" w:cs="Arial"/>
          <w:color w:val="404040"/>
        </w:rPr>
        <w:t xml:space="preserve">El saldo por cobrar de la vigencia 2019 es de $18.511.552. El Grupo de Talento </w:t>
      </w:r>
      <w:r w:rsidR="004D55BC">
        <w:rPr>
          <w:rFonts w:ascii="Arial" w:hAnsi="Arial" w:cs="Arial"/>
          <w:color w:val="404040"/>
        </w:rPr>
        <w:t xml:space="preserve">Humano </w:t>
      </w:r>
      <w:r w:rsidRPr="00E13F3F">
        <w:rPr>
          <w:rFonts w:ascii="Arial" w:hAnsi="Arial" w:cs="Arial"/>
          <w:color w:val="404040"/>
        </w:rPr>
        <w:t>adelant</w:t>
      </w:r>
      <w:r w:rsidR="004D55BC">
        <w:rPr>
          <w:rFonts w:ascii="Arial" w:hAnsi="Arial" w:cs="Arial"/>
          <w:color w:val="404040"/>
        </w:rPr>
        <w:t>ó</w:t>
      </w:r>
      <w:r w:rsidRPr="00E13F3F">
        <w:rPr>
          <w:rFonts w:ascii="Arial" w:hAnsi="Arial" w:cs="Arial"/>
          <w:color w:val="404040"/>
        </w:rPr>
        <w:t xml:space="preserve"> la gestión de cobro ante las EPS y realiz</w:t>
      </w:r>
      <w:r w:rsidR="004D55BC">
        <w:rPr>
          <w:rFonts w:ascii="Arial" w:hAnsi="Arial" w:cs="Arial"/>
          <w:color w:val="404040"/>
        </w:rPr>
        <w:t>ó</w:t>
      </w:r>
      <w:r w:rsidRPr="00E13F3F">
        <w:rPr>
          <w:rFonts w:ascii="Arial" w:hAnsi="Arial" w:cs="Arial"/>
          <w:color w:val="404040"/>
        </w:rPr>
        <w:t xml:space="preserve"> depuración en donde se identificaron Incapacidades que fueron remitidas por médicos particulares. Por lo</w:t>
      </w:r>
      <w:r w:rsidR="00AC443B" w:rsidRPr="00E13F3F">
        <w:rPr>
          <w:rFonts w:ascii="Arial" w:hAnsi="Arial" w:cs="Arial"/>
          <w:color w:val="404040"/>
        </w:rPr>
        <w:t xml:space="preserve"> anterior,</w:t>
      </w:r>
      <w:r w:rsidRPr="00E13F3F">
        <w:rPr>
          <w:rFonts w:ascii="Arial" w:hAnsi="Arial" w:cs="Arial"/>
          <w:color w:val="404040"/>
        </w:rPr>
        <w:t xml:space="preserve"> se </w:t>
      </w:r>
      <w:r w:rsidR="00AC443B" w:rsidRPr="00E13F3F">
        <w:rPr>
          <w:rFonts w:ascii="Arial" w:hAnsi="Arial" w:cs="Arial"/>
          <w:color w:val="404040"/>
        </w:rPr>
        <w:t>tratará</w:t>
      </w:r>
      <w:r w:rsidRPr="00E13F3F">
        <w:rPr>
          <w:rFonts w:ascii="Arial" w:hAnsi="Arial" w:cs="Arial"/>
          <w:color w:val="404040"/>
        </w:rPr>
        <w:t xml:space="preserve"> el tema </w:t>
      </w:r>
      <w:r w:rsidR="00AC443B" w:rsidRPr="00E13F3F">
        <w:rPr>
          <w:rFonts w:ascii="Arial" w:hAnsi="Arial" w:cs="Arial"/>
          <w:color w:val="404040"/>
        </w:rPr>
        <w:t>en el</w:t>
      </w:r>
      <w:r w:rsidRPr="00E13F3F">
        <w:rPr>
          <w:rFonts w:ascii="Arial" w:hAnsi="Arial" w:cs="Arial"/>
          <w:color w:val="404040"/>
        </w:rPr>
        <w:t xml:space="preserve"> Comité de Sostenibilidad Contable</w:t>
      </w:r>
      <w:r w:rsidR="00AC443B" w:rsidRPr="00E13F3F">
        <w:rPr>
          <w:rFonts w:ascii="Arial" w:hAnsi="Arial" w:cs="Arial"/>
          <w:color w:val="404040"/>
        </w:rPr>
        <w:t>.</w:t>
      </w:r>
      <w:r w:rsidRPr="00E13F3F">
        <w:rPr>
          <w:rFonts w:ascii="Arial" w:hAnsi="Arial" w:cs="Arial"/>
          <w:color w:val="404040"/>
        </w:rPr>
        <w:t xml:space="preserve"> </w:t>
      </w:r>
    </w:p>
    <w:p w:rsidR="007A76CE" w:rsidRPr="00E13F3F" w:rsidRDefault="007A76CE" w:rsidP="00D96D92">
      <w:pPr>
        <w:pStyle w:val="Prrafodelista"/>
        <w:autoSpaceDE w:val="0"/>
        <w:autoSpaceDN w:val="0"/>
        <w:adjustRightInd w:val="0"/>
        <w:jc w:val="both"/>
        <w:rPr>
          <w:rFonts w:ascii="Arial" w:hAnsi="Arial" w:cs="Arial"/>
          <w:color w:val="404040"/>
        </w:rPr>
      </w:pPr>
    </w:p>
    <w:p w:rsidR="00AC443B" w:rsidRPr="00E13F3F" w:rsidRDefault="00AC443B" w:rsidP="00AC443B">
      <w:pPr>
        <w:autoSpaceDE w:val="0"/>
        <w:autoSpaceDN w:val="0"/>
        <w:adjustRightInd w:val="0"/>
        <w:jc w:val="both"/>
        <w:rPr>
          <w:rFonts w:ascii="Arial" w:hAnsi="Arial" w:cs="Arial"/>
          <w:color w:val="404040"/>
        </w:rPr>
      </w:pPr>
      <w:r w:rsidRPr="00E13F3F">
        <w:rPr>
          <w:rFonts w:ascii="Arial" w:hAnsi="Arial" w:cs="Arial"/>
          <w:color w:val="404040"/>
        </w:rPr>
        <w:t>Por último, el saldo por incapacidades de la vigencia 2020 asciende a $17.814.519. El Grupo de Talento Humano ha identificado y gestionado los cobros ante las diferentes EPS.</w:t>
      </w:r>
    </w:p>
    <w:p w:rsidR="00AC443B" w:rsidRPr="00E13F3F" w:rsidRDefault="00AC443B" w:rsidP="00AC443B">
      <w:pPr>
        <w:autoSpaceDE w:val="0"/>
        <w:autoSpaceDN w:val="0"/>
        <w:adjustRightInd w:val="0"/>
        <w:jc w:val="both"/>
        <w:rPr>
          <w:rFonts w:ascii="Arial" w:hAnsi="Arial" w:cs="Arial"/>
          <w:color w:val="404040"/>
        </w:rPr>
      </w:pPr>
    </w:p>
    <w:p w:rsidR="00AC443B" w:rsidRPr="00E13F3F" w:rsidRDefault="00AC443B" w:rsidP="00AC443B">
      <w:pPr>
        <w:autoSpaceDE w:val="0"/>
        <w:autoSpaceDN w:val="0"/>
        <w:adjustRightInd w:val="0"/>
        <w:jc w:val="both"/>
        <w:rPr>
          <w:rFonts w:ascii="Arial" w:hAnsi="Arial" w:cs="Arial"/>
          <w:color w:val="404040"/>
        </w:rPr>
      </w:pPr>
      <w:r w:rsidRPr="00E13F3F">
        <w:rPr>
          <w:rFonts w:ascii="Arial" w:hAnsi="Arial" w:cs="Arial"/>
          <w:color w:val="404040"/>
        </w:rPr>
        <w:t>2. Verificación de los documentos de recaudo por clasificar, correspondientes a mayores valores pagados por las diferentes E.P.S, con el fin de efectuar los ajustes correspondientes.</w:t>
      </w:r>
    </w:p>
    <w:p w:rsidR="00AC443B" w:rsidRPr="00E13F3F" w:rsidRDefault="00AC443B" w:rsidP="00AC443B">
      <w:pPr>
        <w:autoSpaceDE w:val="0"/>
        <w:autoSpaceDN w:val="0"/>
        <w:adjustRightInd w:val="0"/>
        <w:jc w:val="both"/>
        <w:rPr>
          <w:rFonts w:ascii="Arial" w:hAnsi="Arial" w:cs="Arial"/>
          <w:color w:val="404040"/>
        </w:rPr>
      </w:pPr>
    </w:p>
    <w:p w:rsidR="0016287F" w:rsidRPr="00E13F3F" w:rsidRDefault="00AC443B" w:rsidP="0016287F">
      <w:pPr>
        <w:jc w:val="both"/>
        <w:rPr>
          <w:rFonts w:ascii="Arial" w:hAnsi="Arial" w:cs="Arial"/>
          <w:color w:val="404040"/>
        </w:rPr>
      </w:pPr>
      <w:r w:rsidRPr="00E13F3F">
        <w:rPr>
          <w:rFonts w:ascii="Arial" w:hAnsi="Arial" w:cs="Arial"/>
          <w:color w:val="404040"/>
        </w:rPr>
        <w:t>3.</w:t>
      </w:r>
      <w:r w:rsidR="0016287F" w:rsidRPr="00E13F3F">
        <w:rPr>
          <w:rFonts w:ascii="Arial" w:hAnsi="Arial" w:cs="Arial"/>
          <w:color w:val="404040"/>
        </w:rPr>
        <w:t xml:space="preserve"> Durante la vigencia 2020, se ha hecho un trabajo conjunto entre Gestión Humana y Contabilidad para la gestión, depuración y conciliación de las incapacidades. </w:t>
      </w:r>
    </w:p>
    <w:p w:rsidR="0016287F" w:rsidRPr="00E13F3F" w:rsidRDefault="0016287F" w:rsidP="0016287F">
      <w:pPr>
        <w:jc w:val="both"/>
        <w:rPr>
          <w:rFonts w:ascii="Arial" w:hAnsi="Arial" w:cs="Arial"/>
          <w:color w:val="404040"/>
        </w:rPr>
      </w:pPr>
    </w:p>
    <w:p w:rsidR="0016287F" w:rsidRDefault="0016287F" w:rsidP="0016287F">
      <w:pPr>
        <w:jc w:val="both"/>
        <w:rPr>
          <w:rFonts w:ascii="Arial" w:hAnsi="Arial" w:cs="Arial"/>
          <w:lang w:val="es-ES"/>
        </w:rPr>
      </w:pPr>
      <w:r w:rsidRPr="00E13F3F">
        <w:rPr>
          <w:rFonts w:ascii="Arial" w:hAnsi="Arial" w:cs="Arial"/>
          <w:color w:val="404040"/>
        </w:rPr>
        <w:t>A continuación, se presenta el saldo total de las Incapacidades por año</w:t>
      </w:r>
      <w:r>
        <w:rPr>
          <w:rFonts w:ascii="Arial" w:hAnsi="Arial" w:cs="Arial"/>
          <w:lang w:val="es-ES"/>
        </w:rPr>
        <w:t>:</w:t>
      </w:r>
    </w:p>
    <w:p w:rsidR="0016287F" w:rsidRDefault="0016287F" w:rsidP="0016287F">
      <w:pPr>
        <w:jc w:val="both"/>
        <w:rPr>
          <w:rFonts w:ascii="Arial" w:hAnsi="Arial" w:cs="Arial"/>
          <w:lang w:val="es-ES"/>
        </w:rPr>
      </w:pPr>
    </w:p>
    <w:tbl>
      <w:tblPr>
        <w:tblStyle w:val="Tablaconcuadrcula4-nfasis1"/>
        <w:tblW w:w="9209" w:type="dxa"/>
        <w:tblLook w:val="04A0" w:firstRow="1" w:lastRow="0" w:firstColumn="1" w:lastColumn="0" w:noHBand="0" w:noVBand="1"/>
      </w:tblPr>
      <w:tblGrid>
        <w:gridCol w:w="1333"/>
        <w:gridCol w:w="1344"/>
        <w:gridCol w:w="1040"/>
        <w:gridCol w:w="1040"/>
        <w:gridCol w:w="1040"/>
        <w:gridCol w:w="1143"/>
        <w:gridCol w:w="966"/>
        <w:gridCol w:w="177"/>
        <w:gridCol w:w="1126"/>
      </w:tblGrid>
      <w:tr w:rsidR="0016287F" w:rsidRPr="003B3D68" w:rsidTr="00193E8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16287F">
            <w:pPr>
              <w:jc w:val="center"/>
              <w:rPr>
                <w:rFonts w:asciiTheme="majorHAnsi" w:eastAsia="Times New Roman" w:hAnsiTheme="majorHAnsi" w:cstheme="majorHAnsi"/>
                <w:sz w:val="20"/>
                <w:szCs w:val="20"/>
                <w:lang w:eastAsia="es-CO"/>
              </w:rPr>
            </w:pPr>
            <w:bookmarkStart w:id="4" w:name="_Hlk57388704"/>
            <w:r w:rsidRPr="003B3D68">
              <w:rPr>
                <w:rFonts w:asciiTheme="majorHAnsi" w:eastAsia="Times New Roman" w:hAnsiTheme="majorHAnsi" w:cstheme="majorHAnsi"/>
                <w:sz w:val="20"/>
                <w:szCs w:val="20"/>
                <w:lang w:eastAsia="es-CO"/>
              </w:rPr>
              <w:t>E.P.S</w:t>
            </w:r>
          </w:p>
        </w:tc>
        <w:tc>
          <w:tcPr>
            <w:tcW w:w="1344"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Nit</w:t>
            </w:r>
          </w:p>
        </w:tc>
        <w:tc>
          <w:tcPr>
            <w:tcW w:w="1040"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2016</w:t>
            </w:r>
          </w:p>
        </w:tc>
        <w:tc>
          <w:tcPr>
            <w:tcW w:w="1040"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2017</w:t>
            </w:r>
          </w:p>
        </w:tc>
        <w:tc>
          <w:tcPr>
            <w:tcW w:w="1040"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2018</w:t>
            </w:r>
          </w:p>
        </w:tc>
        <w:tc>
          <w:tcPr>
            <w:tcW w:w="1143"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2019</w:t>
            </w:r>
          </w:p>
        </w:tc>
        <w:tc>
          <w:tcPr>
            <w:tcW w:w="966" w:type="dxa"/>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2020</w:t>
            </w:r>
          </w:p>
        </w:tc>
        <w:tc>
          <w:tcPr>
            <w:tcW w:w="1303" w:type="dxa"/>
            <w:gridSpan w:val="2"/>
            <w:hideMark/>
          </w:tcPr>
          <w:p w:rsidR="0016287F" w:rsidRPr="003B3D68" w:rsidRDefault="0016287F" w:rsidP="0016287F">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3B3D68">
              <w:rPr>
                <w:rFonts w:asciiTheme="majorHAnsi" w:eastAsia="Times New Roman" w:hAnsiTheme="majorHAnsi" w:cstheme="majorHAnsi"/>
                <w:sz w:val="20"/>
                <w:szCs w:val="20"/>
                <w:lang w:eastAsia="es-CO"/>
              </w:rPr>
              <w:t xml:space="preserve">Total Saldo Acumulado </w:t>
            </w:r>
            <w:r w:rsidR="00C60C95" w:rsidRPr="003B3D68">
              <w:rPr>
                <w:rFonts w:asciiTheme="majorHAnsi" w:eastAsia="Times New Roman" w:hAnsiTheme="majorHAnsi" w:cstheme="majorHAnsi"/>
                <w:sz w:val="20"/>
                <w:szCs w:val="20"/>
                <w:lang w:eastAsia="es-CO"/>
              </w:rPr>
              <w:t>G.H</w:t>
            </w:r>
          </w:p>
        </w:tc>
      </w:tr>
      <w:bookmarkEnd w:id="4"/>
      <w:tr w:rsidR="0016287F" w:rsidRPr="003B3D68" w:rsidTr="00193E85">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Compensar</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860.066.942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106.494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1.168.203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2.534.774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6.330.109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12.361.857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22.501.437 </w:t>
            </w:r>
          </w:p>
        </w:tc>
      </w:tr>
      <w:tr w:rsidR="0016287F" w:rsidRPr="003B3D68" w:rsidTr="00193E85">
        <w:trPr>
          <w:trHeight w:val="258"/>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Salud Total</w:t>
            </w:r>
          </w:p>
        </w:tc>
        <w:tc>
          <w:tcPr>
            <w:tcW w:w="1344" w:type="dxa"/>
            <w:hideMark/>
          </w:tcPr>
          <w:p w:rsidR="0016287F" w:rsidRPr="003B3D68" w:rsidRDefault="0016287F" w:rsidP="0016287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800.130.907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6.819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580.208 </w:t>
            </w:r>
          </w:p>
        </w:tc>
        <w:tc>
          <w:tcPr>
            <w:tcW w:w="1143" w:type="dxa"/>
            <w:gridSpan w:val="2"/>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433.361 </w:t>
            </w:r>
          </w:p>
        </w:tc>
        <w:tc>
          <w:tcPr>
            <w:tcW w:w="1126"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1.020.388 </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Sanitas</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800.251.440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123.163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42.801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10.594.209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2.357.256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13.117.429 </w:t>
            </w:r>
          </w:p>
        </w:tc>
      </w:tr>
      <w:tr w:rsidR="00193E85" w:rsidRPr="00193E85" w:rsidTr="00193E85">
        <w:trPr>
          <w:trHeight w:val="430"/>
        </w:trPr>
        <w:tc>
          <w:tcPr>
            <w:cnfStyle w:val="001000000000" w:firstRow="0" w:lastRow="0" w:firstColumn="1" w:lastColumn="0" w:oddVBand="0" w:evenVBand="0" w:oddHBand="0" w:evenHBand="0" w:firstRowFirstColumn="0" w:firstRowLastColumn="0" w:lastRowFirstColumn="0" w:lastRowLastColumn="0"/>
            <w:tcW w:w="1333" w:type="dxa"/>
            <w:shd w:val="clear" w:color="auto" w:fill="5B9BD5" w:themeFill="accent1"/>
            <w:noWrap/>
            <w:hideMark/>
          </w:tcPr>
          <w:p w:rsidR="00193E85" w:rsidRPr="00193E85" w:rsidRDefault="00193E85" w:rsidP="002D5EC6">
            <w:pPr>
              <w:jc w:val="center"/>
              <w:rPr>
                <w:rFonts w:asciiTheme="majorHAnsi" w:eastAsia="Times New Roman" w:hAnsiTheme="majorHAnsi" w:cstheme="majorHAnsi"/>
                <w:color w:val="FFFFFF" w:themeColor="background1"/>
                <w:sz w:val="20"/>
                <w:szCs w:val="20"/>
                <w:lang w:eastAsia="es-CO"/>
              </w:rPr>
            </w:pPr>
            <w:r w:rsidRPr="00193E85">
              <w:rPr>
                <w:rFonts w:asciiTheme="majorHAnsi" w:eastAsia="Times New Roman" w:hAnsiTheme="majorHAnsi" w:cstheme="majorHAnsi"/>
                <w:color w:val="FFFFFF" w:themeColor="background1"/>
                <w:sz w:val="20"/>
                <w:szCs w:val="20"/>
                <w:lang w:eastAsia="es-CO"/>
              </w:rPr>
              <w:t>E.P.S</w:t>
            </w:r>
          </w:p>
        </w:tc>
        <w:tc>
          <w:tcPr>
            <w:tcW w:w="1344"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Nit</w:t>
            </w:r>
          </w:p>
        </w:tc>
        <w:tc>
          <w:tcPr>
            <w:tcW w:w="1040"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2016</w:t>
            </w:r>
          </w:p>
        </w:tc>
        <w:tc>
          <w:tcPr>
            <w:tcW w:w="1040"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2017</w:t>
            </w:r>
          </w:p>
        </w:tc>
        <w:tc>
          <w:tcPr>
            <w:tcW w:w="1040"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2018</w:t>
            </w:r>
          </w:p>
        </w:tc>
        <w:tc>
          <w:tcPr>
            <w:tcW w:w="1143"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2019</w:t>
            </w:r>
          </w:p>
        </w:tc>
        <w:tc>
          <w:tcPr>
            <w:tcW w:w="966" w:type="dxa"/>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2020</w:t>
            </w:r>
          </w:p>
        </w:tc>
        <w:tc>
          <w:tcPr>
            <w:tcW w:w="1303" w:type="dxa"/>
            <w:gridSpan w:val="2"/>
            <w:shd w:val="clear" w:color="auto" w:fill="5B9BD5" w:themeFill="accent1"/>
            <w:hideMark/>
          </w:tcPr>
          <w:p w:rsidR="00193E85" w:rsidRPr="00193E85" w:rsidRDefault="00193E85" w:rsidP="002D5EC6">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FFFFFF" w:themeColor="background1"/>
                <w:sz w:val="20"/>
                <w:szCs w:val="20"/>
                <w:lang w:eastAsia="es-CO"/>
              </w:rPr>
            </w:pPr>
            <w:r w:rsidRPr="00193E85">
              <w:rPr>
                <w:rFonts w:asciiTheme="majorHAnsi" w:eastAsia="Times New Roman" w:hAnsiTheme="majorHAnsi" w:cstheme="majorHAnsi"/>
                <w:b/>
                <w:color w:val="FFFFFF" w:themeColor="background1"/>
                <w:sz w:val="20"/>
                <w:szCs w:val="20"/>
                <w:lang w:eastAsia="es-CO"/>
              </w:rPr>
              <w:t>Total Saldo Acumulado G.H</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Aliansalud</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830.113.831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2.431.495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2.431.495 </w:t>
            </w:r>
          </w:p>
        </w:tc>
      </w:tr>
      <w:tr w:rsidR="0016287F" w:rsidRPr="003B3D68" w:rsidTr="00193E85">
        <w:trPr>
          <w:trHeight w:val="411"/>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Famisanar</w:t>
            </w:r>
          </w:p>
        </w:tc>
        <w:tc>
          <w:tcPr>
            <w:tcW w:w="1344" w:type="dxa"/>
            <w:hideMark/>
          </w:tcPr>
          <w:p w:rsidR="0016287F" w:rsidRPr="003B3D68" w:rsidRDefault="0016287F" w:rsidP="0016287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830.003.564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126.479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17.202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253.309 </w:t>
            </w:r>
          </w:p>
        </w:tc>
        <w:tc>
          <w:tcPr>
            <w:tcW w:w="1143"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471.929 </w:t>
            </w:r>
          </w:p>
        </w:tc>
        <w:tc>
          <w:tcPr>
            <w:tcW w:w="1143" w:type="dxa"/>
            <w:gridSpan w:val="2"/>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17.368 </w:t>
            </w:r>
          </w:p>
        </w:tc>
        <w:tc>
          <w:tcPr>
            <w:tcW w:w="1126"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886.287 </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Sura</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800.088.702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406.505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399.308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194.759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1.000.572 </w:t>
            </w:r>
          </w:p>
        </w:tc>
      </w:tr>
      <w:tr w:rsidR="0016287F" w:rsidRPr="003B3D68" w:rsidTr="00193E85">
        <w:trPr>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Cafesalud</w:t>
            </w:r>
          </w:p>
        </w:tc>
        <w:tc>
          <w:tcPr>
            <w:tcW w:w="1344" w:type="dxa"/>
            <w:hideMark/>
          </w:tcPr>
          <w:p w:rsidR="0016287F" w:rsidRPr="003B3D68" w:rsidRDefault="0016287F" w:rsidP="0016287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800.140.949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1.049.767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374.254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gridSpan w:val="2"/>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26"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1.424.021 </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Coomeva</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805.000.427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168.930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2.003.377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135.789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2.308.096 </w:t>
            </w:r>
          </w:p>
        </w:tc>
      </w:tr>
      <w:tr w:rsidR="0016287F" w:rsidRPr="003B3D68" w:rsidTr="00193E85">
        <w:trPr>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Medimas</w:t>
            </w:r>
          </w:p>
        </w:tc>
        <w:tc>
          <w:tcPr>
            <w:tcW w:w="1344" w:type="dxa"/>
            <w:hideMark/>
          </w:tcPr>
          <w:p w:rsidR="0016287F" w:rsidRPr="003B3D68" w:rsidRDefault="0016287F" w:rsidP="0016287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901.097.473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5.489 </w:t>
            </w:r>
          </w:p>
        </w:tc>
        <w:tc>
          <w:tcPr>
            <w:tcW w:w="1143"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gridSpan w:val="2"/>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26"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5.489 </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Cruz Blanca</w:t>
            </w:r>
          </w:p>
        </w:tc>
        <w:tc>
          <w:tcPr>
            <w:tcW w:w="1344" w:type="dxa"/>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830.009.783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1.180.960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568.190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1.749.150 </w:t>
            </w:r>
          </w:p>
        </w:tc>
      </w:tr>
      <w:tr w:rsidR="0016287F" w:rsidRPr="003B3D68" w:rsidTr="00193E85">
        <w:trPr>
          <w:trHeight w:val="286"/>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Nueva E.P.S</w:t>
            </w:r>
          </w:p>
        </w:tc>
        <w:tc>
          <w:tcPr>
            <w:tcW w:w="1344" w:type="dxa"/>
            <w:hideMark/>
          </w:tcPr>
          <w:p w:rsidR="0016287F" w:rsidRPr="003B3D68" w:rsidRDefault="0016287F" w:rsidP="0016287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900.156.264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040"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   </w:t>
            </w:r>
          </w:p>
        </w:tc>
        <w:tc>
          <w:tcPr>
            <w:tcW w:w="1143" w:type="dxa"/>
            <w:gridSpan w:val="2"/>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18.423 </w:t>
            </w:r>
          </w:p>
        </w:tc>
        <w:tc>
          <w:tcPr>
            <w:tcW w:w="1126" w:type="dxa"/>
            <w:hideMark/>
          </w:tcPr>
          <w:p w:rsidR="0016287F" w:rsidRPr="003B3D68" w:rsidRDefault="0016287F" w:rsidP="00C60C9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CO"/>
              </w:rPr>
            </w:pPr>
            <w:r w:rsidRPr="003B3D68">
              <w:rPr>
                <w:rFonts w:asciiTheme="majorHAnsi" w:eastAsia="Times New Roman" w:hAnsiTheme="majorHAnsi" w:cstheme="majorHAnsi"/>
                <w:sz w:val="20"/>
                <w:szCs w:val="20"/>
                <w:lang w:eastAsia="es-CO"/>
              </w:rPr>
              <w:t xml:space="preserve">              18.423 </w:t>
            </w:r>
          </w:p>
        </w:tc>
      </w:tr>
      <w:tr w:rsidR="0016287F" w:rsidRPr="003B3D68" w:rsidTr="00193E85">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333" w:type="dxa"/>
            <w:noWrap/>
            <w:hideMark/>
          </w:tcPr>
          <w:p w:rsidR="0016287F" w:rsidRPr="003B3D68" w:rsidRDefault="0016287F" w:rsidP="00C60C95">
            <w:pPr>
              <w:jc w:val="center"/>
              <w:rPr>
                <w:rFonts w:asciiTheme="majorHAnsi" w:eastAsia="Times New Roman" w:hAnsiTheme="majorHAnsi" w:cstheme="majorHAnsi"/>
                <w:color w:val="595959" w:themeColor="text1" w:themeTint="A6"/>
                <w:sz w:val="20"/>
                <w:szCs w:val="20"/>
                <w:lang w:eastAsia="es-CO"/>
              </w:rPr>
            </w:pPr>
            <w:r w:rsidRPr="003B3D68">
              <w:rPr>
                <w:rFonts w:asciiTheme="majorHAnsi" w:eastAsia="Times New Roman" w:hAnsiTheme="majorHAnsi" w:cstheme="majorHAnsi"/>
                <w:color w:val="595959" w:themeColor="text1" w:themeTint="A6"/>
                <w:sz w:val="20"/>
                <w:szCs w:val="20"/>
                <w:lang w:eastAsia="es-CO"/>
              </w:rPr>
              <w:t>TOTALES</w:t>
            </w:r>
          </w:p>
        </w:tc>
        <w:tc>
          <w:tcPr>
            <w:tcW w:w="1344" w:type="dxa"/>
            <w:noWrap/>
            <w:hideMark/>
          </w:tcPr>
          <w:p w:rsidR="0016287F" w:rsidRPr="003B3D68" w:rsidRDefault="0016287F" w:rsidP="0016287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lang w:eastAsia="es-CO"/>
              </w:rPr>
            </w:pPr>
            <w:r w:rsidRPr="003B3D68">
              <w:rPr>
                <w:rFonts w:asciiTheme="majorHAnsi" w:eastAsia="Times New Roman" w:hAnsiTheme="majorHAnsi" w:cstheme="majorHAnsi"/>
                <w:b/>
                <w:bCs/>
                <w:color w:val="000000"/>
                <w:sz w:val="20"/>
                <w:szCs w:val="20"/>
                <w:lang w:eastAsia="es-CO"/>
              </w:rPr>
              <w:t>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2.586.863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1.735.408 </w:t>
            </w:r>
          </w:p>
        </w:tc>
        <w:tc>
          <w:tcPr>
            <w:tcW w:w="1040"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5.814.445 </w:t>
            </w:r>
          </w:p>
        </w:tc>
        <w:tc>
          <w:tcPr>
            <w:tcW w:w="1143"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18.511.552 </w:t>
            </w:r>
          </w:p>
        </w:tc>
        <w:tc>
          <w:tcPr>
            <w:tcW w:w="1143" w:type="dxa"/>
            <w:gridSpan w:val="2"/>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17.814.519 </w:t>
            </w:r>
          </w:p>
        </w:tc>
        <w:tc>
          <w:tcPr>
            <w:tcW w:w="1126" w:type="dxa"/>
            <w:hideMark/>
          </w:tcPr>
          <w:p w:rsidR="0016287F" w:rsidRPr="003B3D68" w:rsidRDefault="0016287F" w:rsidP="00C60C9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595959" w:themeColor="text1" w:themeTint="A6"/>
                <w:sz w:val="20"/>
                <w:szCs w:val="20"/>
                <w:lang w:eastAsia="es-CO"/>
              </w:rPr>
            </w:pPr>
            <w:r w:rsidRPr="003B3D68">
              <w:rPr>
                <w:rFonts w:asciiTheme="majorHAnsi" w:eastAsia="Times New Roman" w:hAnsiTheme="majorHAnsi" w:cstheme="majorHAnsi"/>
                <w:b/>
                <w:bCs/>
                <w:color w:val="595959" w:themeColor="text1" w:themeTint="A6"/>
                <w:sz w:val="20"/>
                <w:szCs w:val="20"/>
                <w:lang w:eastAsia="es-CO"/>
              </w:rPr>
              <w:t xml:space="preserve">       46.462.787 </w:t>
            </w:r>
          </w:p>
        </w:tc>
      </w:tr>
    </w:tbl>
    <w:p w:rsidR="0016287F" w:rsidRPr="00193E85" w:rsidRDefault="00F517D8" w:rsidP="00F517D8">
      <w:pPr>
        <w:autoSpaceDE w:val="0"/>
        <w:autoSpaceDN w:val="0"/>
        <w:adjustRightInd w:val="0"/>
        <w:jc w:val="both"/>
        <w:rPr>
          <w:rFonts w:ascii="Arial" w:hAnsi="Arial" w:cs="Arial"/>
          <w:b/>
          <w:i/>
          <w:color w:val="000000"/>
          <w:sz w:val="14"/>
          <w:szCs w:val="14"/>
        </w:rPr>
      </w:pPr>
      <w:r w:rsidRPr="00193E85">
        <w:rPr>
          <w:rFonts w:ascii="Arial" w:hAnsi="Arial" w:cs="Arial"/>
          <w:b/>
          <w:i/>
          <w:color w:val="000000"/>
          <w:sz w:val="14"/>
          <w:szCs w:val="14"/>
        </w:rPr>
        <w:t>Fuente: Informe de gestión enviado a la OCI - noviembre</w:t>
      </w:r>
    </w:p>
    <w:p w:rsidR="00AC443B" w:rsidRPr="00F517D8" w:rsidRDefault="0016287F" w:rsidP="0016287F">
      <w:pPr>
        <w:autoSpaceDE w:val="0"/>
        <w:autoSpaceDN w:val="0"/>
        <w:adjustRightInd w:val="0"/>
        <w:jc w:val="both"/>
        <w:rPr>
          <w:rFonts w:ascii="Arial" w:hAnsi="Arial" w:cs="Arial"/>
          <w:i/>
          <w:color w:val="000000"/>
          <w:sz w:val="14"/>
          <w:szCs w:val="14"/>
        </w:rPr>
      </w:pPr>
      <w:r w:rsidRPr="00F517D8">
        <w:rPr>
          <w:rFonts w:ascii="Arial" w:hAnsi="Arial" w:cs="Arial"/>
          <w:i/>
          <w:color w:val="000000"/>
          <w:sz w:val="14"/>
          <w:szCs w:val="14"/>
        </w:rPr>
        <w:t xml:space="preserve"> </w:t>
      </w:r>
    </w:p>
    <w:p w:rsidR="007A332F" w:rsidRDefault="00094F38" w:rsidP="007A332F">
      <w:pPr>
        <w:autoSpaceDE w:val="0"/>
        <w:autoSpaceDN w:val="0"/>
        <w:adjustRightInd w:val="0"/>
        <w:jc w:val="both"/>
        <w:rPr>
          <w:rFonts w:ascii="Arial" w:hAnsi="Arial" w:cs="Arial"/>
          <w:color w:val="404040"/>
        </w:rPr>
      </w:pPr>
      <w:r w:rsidRPr="00E13F3F">
        <w:rPr>
          <w:rFonts w:ascii="Arial" w:hAnsi="Arial" w:cs="Arial"/>
          <w:color w:val="404040"/>
        </w:rPr>
        <w:t>Teniendo en cuenta el anterior cuadro, d</w:t>
      </w:r>
      <w:r w:rsidR="00F517D8" w:rsidRPr="00E13F3F">
        <w:rPr>
          <w:rFonts w:ascii="Arial" w:hAnsi="Arial" w:cs="Arial"/>
          <w:color w:val="404040"/>
        </w:rPr>
        <w:t>el saldo de la vigencia</w:t>
      </w:r>
      <w:r w:rsidR="007A332F" w:rsidRPr="00E13F3F">
        <w:rPr>
          <w:rFonts w:ascii="Arial" w:hAnsi="Arial" w:cs="Arial"/>
          <w:color w:val="404040"/>
        </w:rPr>
        <w:t xml:space="preserve"> 2016 por</w:t>
      </w:r>
      <w:r w:rsidR="00F517D8" w:rsidRPr="00E13F3F">
        <w:rPr>
          <w:rFonts w:ascii="Arial" w:hAnsi="Arial" w:cs="Arial"/>
          <w:color w:val="404040"/>
        </w:rPr>
        <w:t xml:space="preserve"> valor de $2.586.863</w:t>
      </w:r>
      <w:r w:rsidR="007A332F" w:rsidRPr="00E13F3F">
        <w:rPr>
          <w:rFonts w:ascii="Arial" w:hAnsi="Arial" w:cs="Arial"/>
          <w:color w:val="404040"/>
        </w:rPr>
        <w:t>, durante el 2020</w:t>
      </w:r>
      <w:r w:rsidRPr="00E13F3F">
        <w:rPr>
          <w:rFonts w:ascii="Arial" w:hAnsi="Arial" w:cs="Arial"/>
          <w:color w:val="404040"/>
        </w:rPr>
        <w:t>,</w:t>
      </w:r>
      <w:r w:rsidR="007A332F" w:rsidRPr="00E13F3F">
        <w:rPr>
          <w:rFonts w:ascii="Arial" w:hAnsi="Arial" w:cs="Arial"/>
          <w:color w:val="404040"/>
        </w:rPr>
        <w:t xml:space="preserve"> n</w:t>
      </w:r>
      <w:r w:rsidR="00F517D8" w:rsidRPr="00E13F3F">
        <w:rPr>
          <w:rFonts w:ascii="Arial" w:hAnsi="Arial" w:cs="Arial"/>
          <w:color w:val="404040"/>
        </w:rPr>
        <w:t xml:space="preserve">o se </w:t>
      </w:r>
      <w:r w:rsidR="007A332F" w:rsidRPr="00E13F3F">
        <w:rPr>
          <w:rFonts w:ascii="Arial" w:hAnsi="Arial" w:cs="Arial"/>
          <w:color w:val="404040"/>
        </w:rPr>
        <w:t>han recibido pagos.</w:t>
      </w:r>
    </w:p>
    <w:p w:rsidR="00E13F3F" w:rsidRPr="00E13F3F" w:rsidRDefault="00E13F3F" w:rsidP="007A332F">
      <w:pPr>
        <w:autoSpaceDE w:val="0"/>
        <w:autoSpaceDN w:val="0"/>
        <w:adjustRightInd w:val="0"/>
        <w:jc w:val="both"/>
        <w:rPr>
          <w:rFonts w:ascii="Arial" w:hAnsi="Arial" w:cs="Arial"/>
          <w:color w:val="404040"/>
        </w:rPr>
      </w:pPr>
    </w:p>
    <w:p w:rsidR="007A332F" w:rsidRDefault="007A332F" w:rsidP="007A332F">
      <w:pPr>
        <w:autoSpaceDE w:val="0"/>
        <w:autoSpaceDN w:val="0"/>
        <w:adjustRightInd w:val="0"/>
        <w:jc w:val="both"/>
        <w:rPr>
          <w:rFonts w:ascii="Arial" w:hAnsi="Arial" w:cs="Arial"/>
          <w:color w:val="404040"/>
        </w:rPr>
      </w:pPr>
      <w:r w:rsidRPr="00E13F3F">
        <w:rPr>
          <w:rFonts w:ascii="Arial" w:hAnsi="Arial" w:cs="Arial"/>
          <w:color w:val="404040"/>
        </w:rPr>
        <w:t xml:space="preserve">Durante la vigencia 2020, se han recibido los siguientes pagos: </w:t>
      </w:r>
    </w:p>
    <w:p w:rsidR="00193E85" w:rsidRPr="00E13F3F" w:rsidRDefault="00193E85" w:rsidP="007A332F">
      <w:pPr>
        <w:autoSpaceDE w:val="0"/>
        <w:autoSpaceDN w:val="0"/>
        <w:adjustRightInd w:val="0"/>
        <w:jc w:val="both"/>
        <w:rPr>
          <w:rFonts w:ascii="Arial" w:hAnsi="Arial" w:cs="Arial"/>
          <w:color w:val="404040"/>
        </w:rPr>
      </w:pPr>
    </w:p>
    <w:p w:rsidR="007A332F" w:rsidRPr="00E13F3F" w:rsidRDefault="007A332F" w:rsidP="007A332F">
      <w:pPr>
        <w:jc w:val="both"/>
        <w:rPr>
          <w:rFonts w:ascii="Arial" w:hAnsi="Arial" w:cs="Arial"/>
          <w:color w:val="404040"/>
        </w:rPr>
      </w:pPr>
      <w:r w:rsidRPr="00E13F3F">
        <w:rPr>
          <w:rFonts w:ascii="Arial" w:hAnsi="Arial" w:cs="Arial"/>
          <w:color w:val="404040"/>
        </w:rPr>
        <w:t xml:space="preserve">De la vigencia 2017 $60.950 de la E.P.S Coomeva, </w:t>
      </w:r>
    </w:p>
    <w:p w:rsidR="007A332F" w:rsidRPr="00E13F3F" w:rsidRDefault="007A332F" w:rsidP="007A332F">
      <w:pPr>
        <w:jc w:val="both"/>
        <w:rPr>
          <w:rFonts w:ascii="Arial" w:hAnsi="Arial" w:cs="Arial"/>
          <w:color w:val="404040"/>
        </w:rPr>
      </w:pPr>
      <w:r w:rsidRPr="00E13F3F">
        <w:rPr>
          <w:rFonts w:ascii="Arial" w:hAnsi="Arial" w:cs="Arial"/>
          <w:color w:val="404040"/>
        </w:rPr>
        <w:t xml:space="preserve">De la vigencia 2018 $2.003.377 de la E.P.S Coomeva, </w:t>
      </w:r>
    </w:p>
    <w:p w:rsidR="007A332F" w:rsidRPr="00E13F3F" w:rsidRDefault="007A332F" w:rsidP="007A332F">
      <w:pPr>
        <w:jc w:val="both"/>
        <w:rPr>
          <w:rFonts w:ascii="Arial" w:hAnsi="Arial" w:cs="Arial"/>
          <w:color w:val="404040"/>
        </w:rPr>
      </w:pPr>
      <w:r w:rsidRPr="00E13F3F">
        <w:rPr>
          <w:rFonts w:ascii="Arial" w:hAnsi="Arial" w:cs="Arial"/>
          <w:color w:val="404040"/>
        </w:rPr>
        <w:t>De la vigencia 2019 $4.140.603, de la E.P.S Compensar y Famisanar</w:t>
      </w:r>
    </w:p>
    <w:p w:rsidR="007A332F" w:rsidRPr="00E13F3F" w:rsidRDefault="007A332F" w:rsidP="007A332F">
      <w:pPr>
        <w:jc w:val="both"/>
        <w:rPr>
          <w:rFonts w:ascii="Arial" w:hAnsi="Arial" w:cs="Arial"/>
          <w:color w:val="404040"/>
        </w:rPr>
      </w:pPr>
    </w:p>
    <w:p w:rsidR="007A332F" w:rsidRPr="00E13F3F" w:rsidRDefault="007A332F" w:rsidP="007A332F">
      <w:pPr>
        <w:spacing w:after="160" w:line="259" w:lineRule="auto"/>
        <w:jc w:val="both"/>
        <w:rPr>
          <w:rFonts w:ascii="Arial" w:hAnsi="Arial" w:cs="Arial"/>
          <w:color w:val="404040"/>
        </w:rPr>
      </w:pPr>
      <w:r w:rsidRPr="00E13F3F">
        <w:rPr>
          <w:rFonts w:ascii="Arial" w:hAnsi="Arial" w:cs="Arial"/>
          <w:color w:val="404040"/>
        </w:rPr>
        <w:t>En 2020 se han generado Incapacidades y Licencias de Maternidad por valor de $78.425.323; de este valor se ha recuperado $60.610.804, el cual equivale a un 77,3%</w:t>
      </w:r>
      <w:r w:rsidR="00610C2D" w:rsidRPr="00E13F3F">
        <w:rPr>
          <w:rFonts w:ascii="Arial" w:hAnsi="Arial" w:cs="Arial"/>
          <w:color w:val="404040"/>
        </w:rPr>
        <w:t>. D</w:t>
      </w:r>
      <w:r w:rsidRPr="00E13F3F">
        <w:rPr>
          <w:rFonts w:ascii="Arial" w:hAnsi="Arial" w:cs="Arial"/>
          <w:color w:val="404040"/>
        </w:rPr>
        <w:t>el saldo de Compensar, se espera la confirmación para ajustar $8.411.087 y recibir los pagos de Sanitas $2.357.256 y Aliansalud $2.431.495, los cuales ya están autorizados en las E.P.S</w:t>
      </w:r>
      <w:r w:rsidR="00610C2D" w:rsidRPr="00E13F3F">
        <w:rPr>
          <w:rFonts w:ascii="Arial" w:hAnsi="Arial" w:cs="Arial"/>
          <w:color w:val="404040"/>
        </w:rPr>
        <w:t xml:space="preserve">, para una recuperación </w:t>
      </w:r>
      <w:r w:rsidRPr="00E13F3F">
        <w:rPr>
          <w:rFonts w:ascii="Arial" w:hAnsi="Arial" w:cs="Arial"/>
          <w:color w:val="404040"/>
        </w:rPr>
        <w:t>del 94,1%.</w:t>
      </w:r>
    </w:p>
    <w:p w:rsidR="00AD0772" w:rsidRDefault="00AD0772" w:rsidP="00AD0772">
      <w:pPr>
        <w:pStyle w:val="Prrafodelista"/>
        <w:numPr>
          <w:ilvl w:val="0"/>
          <w:numId w:val="19"/>
        </w:numPr>
        <w:autoSpaceDE w:val="0"/>
        <w:autoSpaceDN w:val="0"/>
        <w:adjustRightInd w:val="0"/>
        <w:jc w:val="both"/>
        <w:rPr>
          <w:rFonts w:ascii="Arial" w:hAnsi="Arial" w:cs="Arial"/>
          <w:b/>
          <w:color w:val="000000"/>
          <w:sz w:val="23"/>
          <w:szCs w:val="23"/>
        </w:rPr>
      </w:pPr>
      <w:r w:rsidRPr="00AD0772">
        <w:rPr>
          <w:rFonts w:ascii="Arial" w:hAnsi="Arial" w:cs="Arial"/>
          <w:b/>
          <w:color w:val="000000"/>
          <w:sz w:val="23"/>
          <w:szCs w:val="23"/>
        </w:rPr>
        <w:t>Formulario COVID -19</w:t>
      </w:r>
    </w:p>
    <w:p w:rsidR="00AD0772" w:rsidRPr="00AD0772" w:rsidRDefault="00AD0772" w:rsidP="00AD0772">
      <w:pPr>
        <w:pStyle w:val="Prrafodelista"/>
        <w:autoSpaceDE w:val="0"/>
        <w:autoSpaceDN w:val="0"/>
        <w:adjustRightInd w:val="0"/>
        <w:jc w:val="both"/>
        <w:rPr>
          <w:rFonts w:ascii="Arial" w:hAnsi="Arial" w:cs="Arial"/>
          <w:b/>
          <w:color w:val="000000"/>
          <w:sz w:val="23"/>
          <w:szCs w:val="23"/>
        </w:rPr>
      </w:pPr>
    </w:p>
    <w:p w:rsidR="00AD0772" w:rsidRPr="00E13F3F" w:rsidRDefault="00AD0772" w:rsidP="00AD0772">
      <w:pPr>
        <w:autoSpaceDE w:val="0"/>
        <w:autoSpaceDN w:val="0"/>
        <w:adjustRightInd w:val="0"/>
        <w:jc w:val="both"/>
        <w:rPr>
          <w:rFonts w:ascii="Arial" w:hAnsi="Arial" w:cs="Arial"/>
          <w:color w:val="404040"/>
        </w:rPr>
      </w:pPr>
      <w:r w:rsidRPr="00E13F3F">
        <w:rPr>
          <w:rFonts w:ascii="Arial" w:hAnsi="Arial" w:cs="Arial"/>
          <w:color w:val="404040"/>
        </w:rPr>
        <w:t xml:space="preserve">La Contaduría General de la Nación expidió la resolución 109 del 17 de junio de 2020 </w:t>
      </w:r>
      <w:r w:rsidRPr="00E13F3F">
        <w:rPr>
          <w:rFonts w:ascii="Arial" w:hAnsi="Arial" w:cs="Arial"/>
          <w:i/>
          <w:color w:val="404040"/>
        </w:rPr>
        <w:t>” Por la cual se adiciona un formulario de reporte en los términos del artículo 7° de la Resolución No. 706 de diciembre 16 de 2016 (modificada por las resoluciones No. 043 de febrero 8 de 2017, 097 de marzo 15 de 2017 y 441 de diciembre 26 de 2019), para la presentación y reporte de la información financiera específica, correspondiente a los periodos abril - junio de 2020 y siguientes hasta que duren los impactos generados por el COVID-19”</w:t>
      </w:r>
      <w:r w:rsidRPr="00E13F3F">
        <w:rPr>
          <w:rFonts w:ascii="Arial" w:hAnsi="Arial" w:cs="Arial"/>
          <w:color w:val="404040"/>
        </w:rPr>
        <w:t>.</w:t>
      </w:r>
      <w:r w:rsidR="00952ABB" w:rsidRPr="00E13F3F">
        <w:rPr>
          <w:rFonts w:ascii="Arial" w:hAnsi="Arial" w:cs="Arial"/>
          <w:color w:val="404040"/>
        </w:rPr>
        <w:t xml:space="preserve"> En este formulario deben reportarse el valor de las transacciones que tengan relación directa con la financiación y el uso de los recursos destinados a la atención de la emergencia sanitaria, bien sea recursos propios, recibidos de otras entidades o de terceros, los cuales requieren una valoración económica, además, las transacciones que se generen con la aplicación y observancia de los distintos decretos emitidos por el gobierno nacional, para este propósito.</w:t>
      </w:r>
    </w:p>
    <w:p w:rsidR="00AD0772" w:rsidRPr="00E13F3F" w:rsidRDefault="00AD0772" w:rsidP="00AD0772">
      <w:pPr>
        <w:autoSpaceDE w:val="0"/>
        <w:autoSpaceDN w:val="0"/>
        <w:adjustRightInd w:val="0"/>
        <w:jc w:val="both"/>
        <w:rPr>
          <w:rFonts w:ascii="Arial" w:hAnsi="Arial" w:cs="Arial"/>
          <w:color w:val="404040"/>
        </w:rPr>
      </w:pPr>
    </w:p>
    <w:p w:rsidR="00AD0772" w:rsidRDefault="00AD0772" w:rsidP="00AD0772">
      <w:pPr>
        <w:autoSpaceDE w:val="0"/>
        <w:autoSpaceDN w:val="0"/>
        <w:adjustRightInd w:val="0"/>
        <w:jc w:val="both"/>
        <w:rPr>
          <w:rFonts w:ascii="Arial" w:hAnsi="Arial" w:cs="Arial"/>
        </w:rPr>
      </w:pPr>
      <w:r w:rsidRPr="00E13F3F">
        <w:rPr>
          <w:rFonts w:ascii="Arial" w:hAnsi="Arial" w:cs="Arial"/>
          <w:color w:val="404040"/>
        </w:rPr>
        <w:t>Con el fin de dar cumplimiento a la normativa en mención, el Grupo de Gestión Financiera</w:t>
      </w:r>
      <w:r w:rsidR="00F80097" w:rsidRPr="00E13F3F">
        <w:rPr>
          <w:rFonts w:ascii="Arial" w:hAnsi="Arial" w:cs="Arial"/>
          <w:color w:val="404040"/>
        </w:rPr>
        <w:t>, report</w:t>
      </w:r>
      <w:r w:rsidR="00193E85">
        <w:rPr>
          <w:rFonts w:ascii="Arial" w:hAnsi="Arial" w:cs="Arial"/>
          <w:color w:val="404040"/>
        </w:rPr>
        <w:t>ó</w:t>
      </w:r>
      <w:r w:rsidR="00F80097" w:rsidRPr="00E13F3F">
        <w:rPr>
          <w:rFonts w:ascii="Arial" w:hAnsi="Arial" w:cs="Arial"/>
          <w:color w:val="404040"/>
        </w:rPr>
        <w:t xml:space="preserve"> a la Contaduría General de la Nación, los formularios correspondientes a los periodos (abril – junio) y (julio – septiembre)</w:t>
      </w:r>
      <w:r w:rsidR="00952ABB" w:rsidRPr="00E13F3F">
        <w:rPr>
          <w:rFonts w:ascii="Arial" w:hAnsi="Arial" w:cs="Arial"/>
          <w:color w:val="404040"/>
        </w:rPr>
        <w:t xml:space="preserve">, por concepto de </w:t>
      </w:r>
      <w:r w:rsidR="00E27009" w:rsidRPr="00E13F3F">
        <w:rPr>
          <w:rFonts w:ascii="Arial" w:hAnsi="Arial" w:cs="Arial"/>
          <w:color w:val="404040"/>
        </w:rPr>
        <w:t>elementos de bioseguridad como:</w:t>
      </w:r>
      <w:r w:rsidR="00952ABB" w:rsidRPr="00E13F3F">
        <w:rPr>
          <w:rFonts w:ascii="Arial" w:hAnsi="Arial" w:cs="Arial"/>
          <w:color w:val="404040"/>
        </w:rPr>
        <w:t xml:space="preserve"> guantes de nitrilo, gel antibacterial, termómetro digital infrarrojo, tapabocas, alcohol, </w:t>
      </w:r>
      <w:r w:rsidR="00E27009" w:rsidRPr="00E13F3F">
        <w:rPr>
          <w:rFonts w:ascii="Arial" w:hAnsi="Arial" w:cs="Arial"/>
          <w:color w:val="404040"/>
        </w:rPr>
        <w:t>dispensadores y combustible entre otros,</w:t>
      </w:r>
      <w:r w:rsidR="00952ABB" w:rsidRPr="00E13F3F">
        <w:rPr>
          <w:rFonts w:ascii="Arial" w:hAnsi="Arial" w:cs="Arial"/>
          <w:color w:val="404040"/>
        </w:rPr>
        <w:t xml:space="preserve"> </w:t>
      </w:r>
      <w:r w:rsidR="00E27009" w:rsidRPr="00E13F3F">
        <w:rPr>
          <w:rFonts w:ascii="Arial" w:hAnsi="Arial" w:cs="Arial"/>
          <w:color w:val="404040"/>
        </w:rPr>
        <w:t xml:space="preserve">con el fin de </w:t>
      </w:r>
      <w:r w:rsidR="00952ABB" w:rsidRPr="00E13F3F">
        <w:rPr>
          <w:rFonts w:ascii="Arial" w:hAnsi="Arial" w:cs="Arial"/>
          <w:color w:val="404040"/>
        </w:rPr>
        <w:t>atender la emergencia sanitaria</w:t>
      </w:r>
      <w:r w:rsidR="00E27009">
        <w:rPr>
          <w:rFonts w:ascii="Arial" w:hAnsi="Arial" w:cs="Arial"/>
        </w:rPr>
        <w:t>.</w:t>
      </w:r>
      <w:r w:rsidR="00F80097">
        <w:rPr>
          <w:rFonts w:ascii="Arial" w:hAnsi="Arial" w:cs="Arial"/>
        </w:rPr>
        <w:t xml:space="preserve"> </w:t>
      </w:r>
    </w:p>
    <w:p w:rsidR="00E13F3F" w:rsidRPr="00AD0772" w:rsidRDefault="00E13F3F" w:rsidP="00AD0772">
      <w:pPr>
        <w:autoSpaceDE w:val="0"/>
        <w:autoSpaceDN w:val="0"/>
        <w:adjustRightInd w:val="0"/>
        <w:jc w:val="both"/>
        <w:rPr>
          <w:rFonts w:ascii="Arial" w:hAnsi="Arial" w:cs="Arial"/>
        </w:rPr>
      </w:pPr>
    </w:p>
    <w:p w:rsidR="00E13F3F" w:rsidRPr="00E13F3F" w:rsidRDefault="00E13F3F" w:rsidP="00E13F3F">
      <w:pPr>
        <w:pStyle w:val="Prrafodelista"/>
        <w:numPr>
          <w:ilvl w:val="0"/>
          <w:numId w:val="19"/>
        </w:numPr>
        <w:rPr>
          <w:rFonts w:ascii="Arial" w:hAnsi="Arial" w:cs="Arial"/>
          <w:b/>
          <w:color w:val="404040"/>
        </w:rPr>
      </w:pPr>
      <w:r w:rsidRPr="00E13F3F">
        <w:rPr>
          <w:rFonts w:ascii="Arial" w:hAnsi="Arial" w:cs="Arial"/>
          <w:b/>
          <w:color w:val="404040"/>
        </w:rPr>
        <w:t>Inventarios</w:t>
      </w:r>
    </w:p>
    <w:p w:rsidR="00E13F3F" w:rsidRDefault="00E13F3F" w:rsidP="00E13F3F">
      <w:pPr>
        <w:rPr>
          <w:rFonts w:ascii="Arial" w:hAnsi="Arial" w:cs="Arial"/>
          <w:b/>
          <w:color w:val="404040"/>
        </w:rPr>
      </w:pPr>
    </w:p>
    <w:p w:rsidR="00E13F3F" w:rsidRDefault="00E13F3F" w:rsidP="00217ACD">
      <w:pPr>
        <w:pStyle w:val="Default"/>
        <w:jc w:val="both"/>
        <w:rPr>
          <w:color w:val="404040"/>
          <w:sz w:val="22"/>
          <w:szCs w:val="22"/>
        </w:rPr>
      </w:pPr>
      <w:r w:rsidRPr="00217ACD">
        <w:rPr>
          <w:color w:val="404040"/>
          <w:sz w:val="22"/>
          <w:szCs w:val="22"/>
        </w:rPr>
        <w:t xml:space="preserve">En el primer semestre de la vigencia, el Grupo de Gestión Administrativa, llevó a cabo la toma física del 100% de los inventarios de Función Pública (activos fijos y elementos de control), </w:t>
      </w:r>
      <w:r w:rsidR="00217ACD" w:rsidRPr="00217ACD">
        <w:rPr>
          <w:color w:val="404040"/>
          <w:sz w:val="22"/>
          <w:szCs w:val="22"/>
        </w:rPr>
        <w:t xml:space="preserve">en tres </w:t>
      </w:r>
      <w:r w:rsidR="00193E85">
        <w:rPr>
          <w:color w:val="404040"/>
          <w:sz w:val="22"/>
          <w:szCs w:val="22"/>
        </w:rPr>
        <w:t xml:space="preserve">(3) </w:t>
      </w:r>
      <w:r w:rsidR="00217ACD" w:rsidRPr="00217ACD">
        <w:rPr>
          <w:color w:val="404040"/>
          <w:sz w:val="22"/>
          <w:szCs w:val="22"/>
        </w:rPr>
        <w:t xml:space="preserve">etapas así: 1) Toma física, de </w:t>
      </w:r>
      <w:r w:rsidR="00217ACD">
        <w:rPr>
          <w:color w:val="404040"/>
          <w:sz w:val="22"/>
          <w:szCs w:val="22"/>
        </w:rPr>
        <w:t>a</w:t>
      </w:r>
      <w:r w:rsidR="00217ACD" w:rsidRPr="00217ACD">
        <w:rPr>
          <w:color w:val="404040"/>
          <w:sz w:val="22"/>
          <w:szCs w:val="22"/>
        </w:rPr>
        <w:t>ctivos y elementos de control</w:t>
      </w:r>
      <w:r w:rsidR="00217ACD">
        <w:rPr>
          <w:color w:val="404040"/>
          <w:sz w:val="22"/>
          <w:szCs w:val="22"/>
        </w:rPr>
        <w:t xml:space="preserve"> encontrados físicamente en el Entidad, 2) </w:t>
      </w:r>
      <w:r w:rsidR="00217ACD" w:rsidRPr="00217ACD">
        <w:rPr>
          <w:color w:val="404040"/>
          <w:sz w:val="22"/>
          <w:szCs w:val="22"/>
        </w:rPr>
        <w:t>Levantamiento y verificación de información de los elementos distribuidos en las casas</w:t>
      </w:r>
      <w:r w:rsidR="00217ACD">
        <w:rPr>
          <w:color w:val="404040"/>
          <w:sz w:val="22"/>
          <w:szCs w:val="22"/>
        </w:rPr>
        <w:t>, y 3) s</w:t>
      </w:r>
      <w:r w:rsidR="00217ACD" w:rsidRPr="00217ACD">
        <w:rPr>
          <w:color w:val="404040"/>
          <w:sz w:val="22"/>
          <w:szCs w:val="22"/>
        </w:rPr>
        <w:t>e realizó el cruce del 100% de los bienes devolutivos y de control con los que cuentan el Departamento.</w:t>
      </w:r>
    </w:p>
    <w:p w:rsidR="00217ACD" w:rsidRDefault="00217ACD" w:rsidP="00217ACD">
      <w:pPr>
        <w:pStyle w:val="Default"/>
        <w:jc w:val="both"/>
        <w:rPr>
          <w:color w:val="404040"/>
          <w:sz w:val="22"/>
          <w:szCs w:val="22"/>
        </w:rPr>
      </w:pPr>
    </w:p>
    <w:p w:rsidR="00217ACD" w:rsidRDefault="00217ACD" w:rsidP="00217ACD">
      <w:pPr>
        <w:pStyle w:val="Default"/>
        <w:jc w:val="both"/>
        <w:rPr>
          <w:color w:val="404040"/>
          <w:sz w:val="22"/>
          <w:szCs w:val="22"/>
        </w:rPr>
      </w:pPr>
      <w:r w:rsidRPr="00217ACD">
        <w:rPr>
          <w:color w:val="404040"/>
          <w:sz w:val="22"/>
          <w:szCs w:val="22"/>
        </w:rPr>
        <w:t>El área Administrativa ha realizado la distribución de activos y elementos de control a los funcionarios que mediante la herramienta Proactiva-net hacen su solicitud</w:t>
      </w:r>
      <w:r w:rsidR="00554BD9">
        <w:rPr>
          <w:color w:val="404040"/>
          <w:sz w:val="22"/>
          <w:szCs w:val="22"/>
        </w:rPr>
        <w:t>.  Al mes de junio se reporta la siguiente información:</w:t>
      </w:r>
    </w:p>
    <w:p w:rsidR="00554BD9" w:rsidRDefault="00554BD9" w:rsidP="00217ACD">
      <w:pPr>
        <w:pStyle w:val="Default"/>
        <w:jc w:val="both"/>
        <w:rPr>
          <w:color w:val="404040"/>
          <w:sz w:val="22"/>
          <w:szCs w:val="22"/>
        </w:rPr>
      </w:pPr>
    </w:p>
    <w:tbl>
      <w:tblPr>
        <w:tblStyle w:val="Tablaconcuadrcula4-nfasis1"/>
        <w:tblW w:w="0" w:type="auto"/>
        <w:tblLook w:val="04A0" w:firstRow="1" w:lastRow="0" w:firstColumn="1" w:lastColumn="0" w:noHBand="0" w:noVBand="1"/>
      </w:tblPr>
      <w:tblGrid>
        <w:gridCol w:w="5949"/>
        <w:gridCol w:w="3087"/>
      </w:tblGrid>
      <w:tr w:rsidR="00554BD9" w:rsidRPr="003B3D68" w:rsidTr="00554BD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036" w:type="dxa"/>
            <w:gridSpan w:val="2"/>
          </w:tcPr>
          <w:p w:rsidR="00554BD9" w:rsidRPr="003B3D68" w:rsidRDefault="00554BD9" w:rsidP="00554BD9">
            <w:pPr>
              <w:pStyle w:val="Default"/>
              <w:jc w:val="center"/>
              <w:rPr>
                <w:rFonts w:asciiTheme="majorHAnsi" w:hAnsiTheme="majorHAnsi" w:cstheme="majorHAnsi"/>
                <w:bCs w:val="0"/>
                <w:i/>
                <w:color w:val="F2F2F2" w:themeColor="background1" w:themeShade="F2"/>
                <w:sz w:val="20"/>
                <w:szCs w:val="20"/>
              </w:rPr>
            </w:pPr>
            <w:r w:rsidRPr="003B3D68">
              <w:rPr>
                <w:rFonts w:asciiTheme="majorHAnsi" w:hAnsiTheme="majorHAnsi" w:cstheme="majorHAnsi"/>
                <w:i/>
                <w:color w:val="F2F2F2" w:themeColor="background1" w:themeShade="F2"/>
                <w:sz w:val="20"/>
                <w:szCs w:val="20"/>
              </w:rPr>
              <w:t>Elementos distribuidos en las casas</w:t>
            </w:r>
          </w:p>
          <w:p w:rsidR="00986AF2" w:rsidRPr="003B3D68" w:rsidRDefault="00986AF2" w:rsidP="00554BD9">
            <w:pPr>
              <w:pStyle w:val="Default"/>
              <w:jc w:val="center"/>
              <w:rPr>
                <w:rFonts w:asciiTheme="majorHAnsi" w:hAnsiTheme="majorHAnsi" w:cstheme="majorHAnsi"/>
                <w:i/>
                <w:color w:val="404040"/>
                <w:sz w:val="20"/>
                <w:szCs w:val="20"/>
              </w:rPr>
            </w:pPr>
          </w:p>
        </w:tc>
      </w:tr>
      <w:tr w:rsidR="00554BD9" w:rsidRPr="003B3D68" w:rsidTr="00554BD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949" w:type="dxa"/>
          </w:tcPr>
          <w:p w:rsidR="00554BD9" w:rsidRPr="003B3D68" w:rsidRDefault="00554BD9" w:rsidP="00554BD9">
            <w:pPr>
              <w:pStyle w:val="Default"/>
              <w:jc w:val="center"/>
              <w:rPr>
                <w:rFonts w:asciiTheme="majorHAnsi" w:hAnsiTheme="majorHAnsi" w:cstheme="majorHAnsi"/>
                <w:i/>
                <w:color w:val="404040" w:themeColor="text1" w:themeTint="BF"/>
                <w:sz w:val="20"/>
                <w:szCs w:val="20"/>
              </w:rPr>
            </w:pPr>
            <w:r w:rsidRPr="003B3D68">
              <w:rPr>
                <w:rFonts w:asciiTheme="majorHAnsi" w:hAnsiTheme="majorHAnsi" w:cstheme="majorHAnsi"/>
                <w:i/>
                <w:color w:val="404040" w:themeColor="text1" w:themeTint="BF"/>
                <w:sz w:val="20"/>
                <w:szCs w:val="20"/>
              </w:rPr>
              <w:t>Descripción</w:t>
            </w:r>
          </w:p>
        </w:tc>
        <w:tc>
          <w:tcPr>
            <w:tcW w:w="3087" w:type="dxa"/>
          </w:tcPr>
          <w:p w:rsidR="00554BD9" w:rsidRPr="003B3D68" w:rsidRDefault="00554BD9" w:rsidP="00554BD9">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404040" w:themeColor="text1" w:themeTint="BF"/>
                <w:sz w:val="20"/>
                <w:szCs w:val="20"/>
              </w:rPr>
            </w:pPr>
            <w:r w:rsidRPr="003B3D68">
              <w:rPr>
                <w:rFonts w:asciiTheme="majorHAnsi" w:hAnsiTheme="majorHAnsi" w:cstheme="majorHAnsi"/>
                <w:b/>
                <w:i/>
                <w:color w:val="404040" w:themeColor="text1" w:themeTint="BF"/>
                <w:sz w:val="20"/>
                <w:szCs w:val="20"/>
              </w:rPr>
              <w:t>Cantidad</w:t>
            </w:r>
          </w:p>
        </w:tc>
      </w:tr>
      <w:tr w:rsidR="00554BD9" w:rsidRPr="003B3D68" w:rsidTr="00554BD9">
        <w:trPr>
          <w:trHeight w:val="254"/>
        </w:trPr>
        <w:tc>
          <w:tcPr>
            <w:cnfStyle w:val="001000000000" w:firstRow="0" w:lastRow="0" w:firstColumn="1" w:lastColumn="0" w:oddVBand="0" w:evenVBand="0" w:oddHBand="0" w:evenHBand="0" w:firstRowFirstColumn="0" w:firstRowLastColumn="0" w:lastRowFirstColumn="0" w:lastRowLastColumn="0"/>
            <w:tcW w:w="5949" w:type="dxa"/>
          </w:tcPr>
          <w:p w:rsidR="00554BD9" w:rsidRPr="003B3D68" w:rsidRDefault="00554BD9" w:rsidP="00217ACD">
            <w:pPr>
              <w:pStyle w:val="Default"/>
              <w:jc w:val="both"/>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 xml:space="preserve">Activos fijos </w:t>
            </w:r>
          </w:p>
        </w:tc>
        <w:tc>
          <w:tcPr>
            <w:tcW w:w="3087" w:type="dxa"/>
          </w:tcPr>
          <w:p w:rsidR="00554BD9" w:rsidRPr="003B3D68" w:rsidRDefault="00554BD9" w:rsidP="00554BD9">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122</w:t>
            </w:r>
          </w:p>
        </w:tc>
      </w:tr>
      <w:tr w:rsidR="00554BD9" w:rsidRPr="003B3D68" w:rsidTr="00554BD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949" w:type="dxa"/>
          </w:tcPr>
          <w:p w:rsidR="00554BD9" w:rsidRPr="003B3D68" w:rsidRDefault="00554BD9" w:rsidP="00217ACD">
            <w:pPr>
              <w:pStyle w:val="Default"/>
              <w:jc w:val="both"/>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Elementos de control</w:t>
            </w:r>
          </w:p>
        </w:tc>
        <w:tc>
          <w:tcPr>
            <w:tcW w:w="3087" w:type="dxa"/>
          </w:tcPr>
          <w:p w:rsidR="00554BD9" w:rsidRPr="003B3D68" w:rsidRDefault="00554BD9" w:rsidP="00554BD9">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94</w:t>
            </w:r>
          </w:p>
        </w:tc>
      </w:tr>
      <w:tr w:rsidR="00554BD9" w:rsidRPr="003B3D68" w:rsidTr="00554BD9">
        <w:trPr>
          <w:trHeight w:val="254"/>
        </w:trPr>
        <w:tc>
          <w:tcPr>
            <w:cnfStyle w:val="001000000000" w:firstRow="0" w:lastRow="0" w:firstColumn="1" w:lastColumn="0" w:oddVBand="0" w:evenVBand="0" w:oddHBand="0" w:evenHBand="0" w:firstRowFirstColumn="0" w:firstRowLastColumn="0" w:lastRowFirstColumn="0" w:lastRowLastColumn="0"/>
            <w:tcW w:w="5949" w:type="dxa"/>
          </w:tcPr>
          <w:p w:rsidR="00554BD9" w:rsidRPr="003B3D68" w:rsidRDefault="00554BD9" w:rsidP="00217ACD">
            <w:pPr>
              <w:pStyle w:val="Default"/>
              <w:jc w:val="both"/>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Equipo de comunicaciones y computación</w:t>
            </w:r>
          </w:p>
        </w:tc>
        <w:tc>
          <w:tcPr>
            <w:tcW w:w="3087" w:type="dxa"/>
          </w:tcPr>
          <w:p w:rsidR="00554BD9" w:rsidRPr="003B3D68" w:rsidRDefault="00554BD9" w:rsidP="00554BD9">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162</w:t>
            </w:r>
          </w:p>
        </w:tc>
      </w:tr>
      <w:tr w:rsidR="00554BD9" w:rsidRPr="003B3D68" w:rsidTr="00554BD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949" w:type="dxa"/>
          </w:tcPr>
          <w:p w:rsidR="00554BD9" w:rsidRPr="003B3D68" w:rsidRDefault="00554BD9" w:rsidP="00217ACD">
            <w:pPr>
              <w:pStyle w:val="Default"/>
              <w:jc w:val="both"/>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Muebles y enseres</w:t>
            </w:r>
          </w:p>
        </w:tc>
        <w:tc>
          <w:tcPr>
            <w:tcW w:w="3087" w:type="dxa"/>
          </w:tcPr>
          <w:p w:rsidR="00554BD9" w:rsidRPr="003B3D68" w:rsidRDefault="00554BD9" w:rsidP="00554BD9">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767171" w:themeColor="background2" w:themeShade="80"/>
                <w:sz w:val="20"/>
                <w:szCs w:val="20"/>
              </w:rPr>
            </w:pPr>
            <w:r w:rsidRPr="003B3D68">
              <w:rPr>
                <w:rFonts w:asciiTheme="majorHAnsi" w:hAnsiTheme="majorHAnsi" w:cstheme="majorHAnsi"/>
                <w:color w:val="767171" w:themeColor="background2" w:themeShade="80"/>
                <w:sz w:val="20"/>
                <w:szCs w:val="20"/>
              </w:rPr>
              <w:t>54</w:t>
            </w:r>
          </w:p>
        </w:tc>
      </w:tr>
    </w:tbl>
    <w:p w:rsidR="00554BD9" w:rsidRDefault="00986AF2" w:rsidP="00986AF2">
      <w:pPr>
        <w:autoSpaceDE w:val="0"/>
        <w:autoSpaceDN w:val="0"/>
        <w:adjustRightInd w:val="0"/>
        <w:jc w:val="both"/>
        <w:rPr>
          <w:rFonts w:ascii="Arial" w:hAnsi="Arial" w:cs="Arial"/>
          <w:b/>
          <w:i/>
          <w:color w:val="000000"/>
          <w:sz w:val="14"/>
          <w:szCs w:val="14"/>
        </w:rPr>
      </w:pPr>
      <w:r w:rsidRPr="00193E85">
        <w:rPr>
          <w:rFonts w:ascii="Arial" w:hAnsi="Arial" w:cs="Arial"/>
          <w:b/>
          <w:i/>
          <w:color w:val="000000"/>
          <w:sz w:val="14"/>
          <w:szCs w:val="14"/>
        </w:rPr>
        <w:t>Fuente: Informe de Inventarios primer semestre 2020</w:t>
      </w:r>
    </w:p>
    <w:p w:rsidR="00193E85" w:rsidRPr="00193E85" w:rsidRDefault="00193E85" w:rsidP="00986AF2">
      <w:pPr>
        <w:autoSpaceDE w:val="0"/>
        <w:autoSpaceDN w:val="0"/>
        <w:adjustRightInd w:val="0"/>
        <w:jc w:val="both"/>
        <w:rPr>
          <w:rFonts w:ascii="Arial" w:hAnsi="Arial" w:cs="Arial"/>
          <w:b/>
          <w:i/>
          <w:color w:val="000000"/>
          <w:sz w:val="14"/>
          <w:szCs w:val="14"/>
        </w:rPr>
      </w:pPr>
    </w:p>
    <w:p w:rsidR="00217ACD" w:rsidRDefault="003B5001" w:rsidP="00217ACD">
      <w:pPr>
        <w:pStyle w:val="Default"/>
        <w:jc w:val="both"/>
        <w:rPr>
          <w:color w:val="404040"/>
          <w:sz w:val="22"/>
          <w:szCs w:val="22"/>
        </w:rPr>
      </w:pPr>
      <w:r w:rsidRPr="003B5001">
        <w:rPr>
          <w:color w:val="404040"/>
          <w:sz w:val="22"/>
          <w:szCs w:val="22"/>
        </w:rPr>
        <w:t>Las novedades encontradas entre los elementos de control vs</w:t>
      </w:r>
      <w:r w:rsidR="004E699B">
        <w:rPr>
          <w:color w:val="404040"/>
          <w:sz w:val="22"/>
          <w:szCs w:val="22"/>
        </w:rPr>
        <w:t xml:space="preserve"> los</w:t>
      </w:r>
      <w:r w:rsidR="004E699B" w:rsidRPr="003B5001">
        <w:rPr>
          <w:color w:val="404040"/>
          <w:sz w:val="22"/>
          <w:szCs w:val="22"/>
        </w:rPr>
        <w:t xml:space="preserve"> físicos</w:t>
      </w:r>
      <w:r w:rsidRPr="003B5001">
        <w:rPr>
          <w:color w:val="404040"/>
          <w:sz w:val="22"/>
          <w:szCs w:val="22"/>
        </w:rPr>
        <w:t xml:space="preserve"> son los siguientes:</w:t>
      </w:r>
    </w:p>
    <w:p w:rsidR="003B5001" w:rsidRDefault="003B5001" w:rsidP="00217ACD">
      <w:pPr>
        <w:pStyle w:val="Default"/>
        <w:jc w:val="both"/>
        <w:rPr>
          <w:color w:val="404040"/>
          <w:sz w:val="22"/>
          <w:szCs w:val="22"/>
        </w:rPr>
      </w:pPr>
    </w:p>
    <w:p w:rsidR="003B5001" w:rsidRDefault="003B5001" w:rsidP="00217ACD">
      <w:pPr>
        <w:pStyle w:val="Default"/>
        <w:jc w:val="both"/>
        <w:rPr>
          <w:b/>
          <w:bCs/>
          <w:sz w:val="18"/>
          <w:szCs w:val="18"/>
        </w:rPr>
      </w:pPr>
      <w:r w:rsidRPr="00986AF2">
        <w:rPr>
          <w:b/>
          <w:bCs/>
          <w:sz w:val="18"/>
          <w:szCs w:val="18"/>
        </w:rPr>
        <w:t>167001001- EQUIPO DE COMUNICACIÓN</w:t>
      </w:r>
    </w:p>
    <w:p w:rsidR="003B5001" w:rsidRDefault="003B5001" w:rsidP="00217ACD">
      <w:pPr>
        <w:pStyle w:val="Default"/>
        <w:jc w:val="both"/>
        <w:rPr>
          <w:color w:val="404040"/>
          <w:sz w:val="22"/>
          <w:szCs w:val="22"/>
        </w:rPr>
      </w:pPr>
    </w:p>
    <w:tbl>
      <w:tblPr>
        <w:tblStyle w:val="Tablaconcuadrcula6concolores-nfasis5"/>
        <w:tblW w:w="0" w:type="auto"/>
        <w:tblLook w:val="04A0" w:firstRow="1" w:lastRow="0" w:firstColumn="1" w:lastColumn="0" w:noHBand="0" w:noVBand="1"/>
      </w:tblPr>
      <w:tblGrid>
        <w:gridCol w:w="1564"/>
        <w:gridCol w:w="1523"/>
        <w:gridCol w:w="1540"/>
        <w:gridCol w:w="1689"/>
        <w:gridCol w:w="1373"/>
        <w:gridCol w:w="1373"/>
      </w:tblGrid>
      <w:tr w:rsidR="003B5001" w:rsidRPr="00B65A53" w:rsidTr="00B65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4E699B" w:rsidP="003B5001">
            <w:pPr>
              <w:pStyle w:val="Default"/>
              <w:jc w:val="center"/>
              <w:rPr>
                <w:rFonts w:asciiTheme="majorHAnsi" w:hAnsiTheme="majorHAnsi" w:cstheme="majorHAnsi"/>
                <w:color w:val="404040"/>
                <w:sz w:val="20"/>
                <w:szCs w:val="20"/>
              </w:rPr>
            </w:pPr>
            <w:r w:rsidRPr="00B65A53">
              <w:rPr>
                <w:rFonts w:asciiTheme="majorHAnsi" w:hAnsiTheme="majorHAnsi" w:cstheme="majorHAnsi"/>
                <w:color w:val="404040"/>
                <w:sz w:val="20"/>
                <w:szCs w:val="20"/>
              </w:rPr>
              <w:t>CÓDIGO</w:t>
            </w:r>
          </w:p>
        </w:tc>
        <w:tc>
          <w:tcPr>
            <w:tcW w:w="1523" w:type="dxa"/>
          </w:tcPr>
          <w:p w:rsidR="003B5001" w:rsidRPr="00B65A53" w:rsidRDefault="004E699B" w:rsidP="003B5001">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PLACA</w:t>
            </w:r>
          </w:p>
        </w:tc>
        <w:tc>
          <w:tcPr>
            <w:tcW w:w="1540" w:type="dxa"/>
          </w:tcPr>
          <w:p w:rsidR="003B5001" w:rsidRPr="00B65A53" w:rsidRDefault="004E699B" w:rsidP="003B5001">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GRUPO IUCI</w:t>
            </w:r>
          </w:p>
        </w:tc>
        <w:tc>
          <w:tcPr>
            <w:tcW w:w="1689" w:type="dxa"/>
          </w:tcPr>
          <w:p w:rsidR="003B5001" w:rsidRPr="00B65A53" w:rsidRDefault="004E699B" w:rsidP="003B5001">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DESCRIPCIÓN</w:t>
            </w:r>
          </w:p>
        </w:tc>
        <w:tc>
          <w:tcPr>
            <w:tcW w:w="1373" w:type="dxa"/>
          </w:tcPr>
          <w:p w:rsidR="003B5001" w:rsidRPr="00B65A53" w:rsidRDefault="004E699B" w:rsidP="003B5001">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FECHA INGRESO</w:t>
            </w:r>
          </w:p>
        </w:tc>
        <w:tc>
          <w:tcPr>
            <w:tcW w:w="1373" w:type="dxa"/>
          </w:tcPr>
          <w:p w:rsidR="003B5001" w:rsidRPr="00B65A53" w:rsidRDefault="004E699B" w:rsidP="003B5001">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VALOR COMPRA</w:t>
            </w:r>
          </w:p>
        </w:tc>
      </w:tr>
      <w:tr w:rsidR="003B5001" w:rsidRPr="00B65A53" w:rsidTr="00B65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3B5001" w:rsidP="00B65A53">
            <w:pPr>
              <w:pStyle w:val="Default"/>
              <w:jc w:val="center"/>
              <w:rPr>
                <w:rFonts w:asciiTheme="majorHAnsi" w:hAnsiTheme="majorHAnsi" w:cstheme="majorHAnsi"/>
                <w:b w:val="0"/>
                <w:color w:val="404040"/>
                <w:sz w:val="20"/>
                <w:szCs w:val="20"/>
              </w:rPr>
            </w:pPr>
            <w:r w:rsidRPr="00B65A53">
              <w:rPr>
                <w:rFonts w:asciiTheme="majorHAnsi" w:hAnsiTheme="majorHAnsi" w:cstheme="majorHAnsi"/>
                <w:b w:val="0"/>
                <w:color w:val="404040"/>
                <w:sz w:val="20"/>
                <w:szCs w:val="20"/>
              </w:rPr>
              <w:t>2266</w:t>
            </w:r>
          </w:p>
        </w:tc>
        <w:tc>
          <w:tcPr>
            <w:tcW w:w="152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3138</w:t>
            </w:r>
          </w:p>
        </w:tc>
        <w:tc>
          <w:tcPr>
            <w:tcW w:w="1540"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986AF2">
              <w:rPr>
                <w:rFonts w:asciiTheme="majorHAnsi" w:hAnsiTheme="majorHAnsi" w:cstheme="majorHAnsi"/>
                <w:sz w:val="20"/>
                <w:szCs w:val="20"/>
              </w:rPr>
              <w:t>OTROS MUEBLES Y ENS. Y EQ. DE OFIC.</w:t>
            </w:r>
          </w:p>
        </w:tc>
        <w:tc>
          <w:tcPr>
            <w:tcW w:w="1689"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SILLA</w:t>
            </w:r>
          </w:p>
        </w:tc>
        <w:tc>
          <w:tcPr>
            <w:tcW w:w="137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10-07-2018</w:t>
            </w:r>
          </w:p>
        </w:tc>
        <w:tc>
          <w:tcPr>
            <w:tcW w:w="137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387.940,00</w:t>
            </w:r>
          </w:p>
        </w:tc>
      </w:tr>
      <w:tr w:rsidR="003B5001" w:rsidRPr="00B65A53" w:rsidTr="00B65A53">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3B5001" w:rsidP="00B65A53">
            <w:pPr>
              <w:pStyle w:val="Default"/>
              <w:jc w:val="center"/>
              <w:rPr>
                <w:rFonts w:asciiTheme="majorHAnsi" w:hAnsiTheme="majorHAnsi" w:cstheme="majorHAnsi"/>
                <w:b w:val="0"/>
                <w:color w:val="404040"/>
                <w:sz w:val="20"/>
                <w:szCs w:val="20"/>
              </w:rPr>
            </w:pPr>
            <w:r w:rsidRPr="00B65A53">
              <w:rPr>
                <w:rFonts w:asciiTheme="majorHAnsi" w:hAnsiTheme="majorHAnsi" w:cstheme="majorHAnsi"/>
                <w:b w:val="0"/>
                <w:color w:val="404040"/>
                <w:sz w:val="20"/>
                <w:szCs w:val="20"/>
              </w:rPr>
              <w:t>1623</w:t>
            </w:r>
          </w:p>
        </w:tc>
        <w:tc>
          <w:tcPr>
            <w:tcW w:w="152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307</w:t>
            </w:r>
          </w:p>
        </w:tc>
        <w:tc>
          <w:tcPr>
            <w:tcW w:w="1540"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986AF2">
              <w:rPr>
                <w:rFonts w:asciiTheme="majorHAnsi" w:hAnsiTheme="majorHAnsi" w:cstheme="majorHAnsi"/>
                <w:sz w:val="20"/>
                <w:szCs w:val="20"/>
              </w:rPr>
              <w:t>OTROS MUEBLES Y ENS. Y EQ. DE OFIC.</w:t>
            </w:r>
          </w:p>
        </w:tc>
        <w:tc>
          <w:tcPr>
            <w:tcW w:w="1689"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SILLA</w:t>
            </w:r>
          </w:p>
        </w:tc>
        <w:tc>
          <w:tcPr>
            <w:tcW w:w="137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17-01-2015</w:t>
            </w:r>
          </w:p>
        </w:tc>
        <w:tc>
          <w:tcPr>
            <w:tcW w:w="137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248.280,60</w:t>
            </w:r>
          </w:p>
        </w:tc>
      </w:tr>
      <w:tr w:rsidR="003B5001" w:rsidRPr="00B65A53" w:rsidTr="00B65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3B5001" w:rsidP="00B65A53">
            <w:pPr>
              <w:pStyle w:val="Default"/>
              <w:jc w:val="center"/>
              <w:rPr>
                <w:rFonts w:asciiTheme="majorHAnsi" w:hAnsiTheme="majorHAnsi" w:cstheme="majorHAnsi"/>
                <w:b w:val="0"/>
                <w:color w:val="404040"/>
                <w:sz w:val="20"/>
                <w:szCs w:val="20"/>
              </w:rPr>
            </w:pPr>
            <w:r w:rsidRPr="00B65A53">
              <w:rPr>
                <w:rFonts w:asciiTheme="majorHAnsi" w:hAnsiTheme="majorHAnsi" w:cstheme="majorHAnsi"/>
                <w:b w:val="0"/>
                <w:color w:val="404040"/>
                <w:sz w:val="20"/>
                <w:szCs w:val="20"/>
              </w:rPr>
              <w:t>965</w:t>
            </w:r>
          </w:p>
        </w:tc>
        <w:tc>
          <w:tcPr>
            <w:tcW w:w="152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741</w:t>
            </w:r>
          </w:p>
        </w:tc>
        <w:tc>
          <w:tcPr>
            <w:tcW w:w="1540"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986AF2">
              <w:rPr>
                <w:rFonts w:asciiTheme="majorHAnsi" w:hAnsiTheme="majorHAnsi" w:cstheme="majorHAnsi"/>
                <w:sz w:val="20"/>
                <w:szCs w:val="20"/>
              </w:rPr>
              <w:t>OTROS MUEBLES Y ENS. Y EQ. DE OFIC.</w:t>
            </w:r>
          </w:p>
        </w:tc>
        <w:tc>
          <w:tcPr>
            <w:tcW w:w="1689"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SILLA</w:t>
            </w:r>
          </w:p>
        </w:tc>
        <w:tc>
          <w:tcPr>
            <w:tcW w:w="137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14-01-2013</w:t>
            </w:r>
          </w:p>
        </w:tc>
        <w:tc>
          <w:tcPr>
            <w:tcW w:w="137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243.600,00</w:t>
            </w:r>
          </w:p>
        </w:tc>
      </w:tr>
      <w:tr w:rsidR="003B5001" w:rsidRPr="00B65A53" w:rsidTr="00B65A53">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3B5001" w:rsidP="00B65A53">
            <w:pPr>
              <w:pStyle w:val="Default"/>
              <w:jc w:val="center"/>
              <w:rPr>
                <w:rFonts w:asciiTheme="majorHAnsi" w:hAnsiTheme="majorHAnsi" w:cstheme="majorHAnsi"/>
                <w:b w:val="0"/>
                <w:color w:val="404040"/>
                <w:sz w:val="20"/>
                <w:szCs w:val="20"/>
              </w:rPr>
            </w:pPr>
            <w:r w:rsidRPr="00B65A53">
              <w:rPr>
                <w:rFonts w:asciiTheme="majorHAnsi" w:hAnsiTheme="majorHAnsi" w:cstheme="majorHAnsi"/>
                <w:b w:val="0"/>
                <w:color w:val="404040"/>
                <w:sz w:val="20"/>
                <w:szCs w:val="20"/>
              </w:rPr>
              <w:t>2059</w:t>
            </w:r>
          </w:p>
        </w:tc>
        <w:tc>
          <w:tcPr>
            <w:tcW w:w="152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405</w:t>
            </w:r>
          </w:p>
        </w:tc>
        <w:tc>
          <w:tcPr>
            <w:tcW w:w="1540"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986AF2">
              <w:rPr>
                <w:rFonts w:asciiTheme="majorHAnsi" w:hAnsiTheme="majorHAnsi" w:cstheme="majorHAnsi"/>
                <w:sz w:val="20"/>
                <w:szCs w:val="20"/>
              </w:rPr>
              <w:t>OTROS MUEBLES Y ENS. Y EQ. DE OFIC.</w:t>
            </w:r>
          </w:p>
        </w:tc>
        <w:tc>
          <w:tcPr>
            <w:tcW w:w="1689"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MONITOR</w:t>
            </w:r>
          </w:p>
        </w:tc>
        <w:tc>
          <w:tcPr>
            <w:tcW w:w="137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23-08-2012</w:t>
            </w:r>
          </w:p>
        </w:tc>
        <w:tc>
          <w:tcPr>
            <w:tcW w:w="1373" w:type="dxa"/>
          </w:tcPr>
          <w:p w:rsidR="003B5001" w:rsidRPr="00B65A53" w:rsidRDefault="003B5001" w:rsidP="00B65A53">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320.067,98</w:t>
            </w:r>
          </w:p>
        </w:tc>
      </w:tr>
      <w:tr w:rsidR="003B5001" w:rsidRPr="00B65A53" w:rsidTr="00B65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Pr>
          <w:p w:rsidR="003B5001" w:rsidRPr="00B65A53" w:rsidRDefault="003B5001" w:rsidP="00217ACD">
            <w:pPr>
              <w:pStyle w:val="Default"/>
              <w:jc w:val="both"/>
              <w:rPr>
                <w:rFonts w:asciiTheme="majorHAnsi" w:hAnsiTheme="majorHAnsi" w:cstheme="majorHAnsi"/>
                <w:color w:val="404040"/>
                <w:sz w:val="20"/>
                <w:szCs w:val="20"/>
              </w:rPr>
            </w:pPr>
            <w:r w:rsidRPr="00B65A53">
              <w:rPr>
                <w:rFonts w:asciiTheme="majorHAnsi" w:hAnsiTheme="majorHAnsi" w:cstheme="majorHAnsi"/>
                <w:color w:val="404040"/>
                <w:sz w:val="20"/>
                <w:szCs w:val="20"/>
              </w:rPr>
              <w:t>TOTAL</w:t>
            </w:r>
          </w:p>
        </w:tc>
        <w:tc>
          <w:tcPr>
            <w:tcW w:w="6125" w:type="dxa"/>
            <w:gridSpan w:val="4"/>
          </w:tcPr>
          <w:p w:rsidR="003B5001" w:rsidRPr="00B65A53" w:rsidRDefault="003B5001" w:rsidP="00217ACD">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p>
        </w:tc>
        <w:tc>
          <w:tcPr>
            <w:tcW w:w="1373" w:type="dxa"/>
          </w:tcPr>
          <w:p w:rsidR="003B5001" w:rsidRPr="00B65A53" w:rsidRDefault="003B5001" w:rsidP="00B65A53">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B65A53">
              <w:rPr>
                <w:rFonts w:asciiTheme="majorHAnsi" w:hAnsiTheme="majorHAnsi" w:cstheme="majorHAnsi"/>
                <w:color w:val="404040"/>
                <w:sz w:val="20"/>
                <w:szCs w:val="20"/>
              </w:rPr>
              <w:t>1.199.888,58</w:t>
            </w:r>
          </w:p>
        </w:tc>
      </w:tr>
    </w:tbl>
    <w:p w:rsidR="00B65A53" w:rsidRPr="00193E85" w:rsidRDefault="00B65A53" w:rsidP="00B65A53">
      <w:pPr>
        <w:autoSpaceDE w:val="0"/>
        <w:autoSpaceDN w:val="0"/>
        <w:adjustRightInd w:val="0"/>
        <w:jc w:val="both"/>
        <w:rPr>
          <w:rFonts w:ascii="Arial" w:hAnsi="Arial" w:cs="Arial"/>
          <w:b/>
          <w:i/>
          <w:color w:val="000000"/>
          <w:sz w:val="14"/>
          <w:szCs w:val="14"/>
        </w:rPr>
      </w:pPr>
      <w:r w:rsidRPr="00193E85">
        <w:rPr>
          <w:rFonts w:ascii="Arial" w:hAnsi="Arial" w:cs="Arial"/>
          <w:b/>
          <w:i/>
          <w:color w:val="000000"/>
          <w:sz w:val="14"/>
          <w:szCs w:val="14"/>
        </w:rPr>
        <w:t>Fuente: Informe de Inventarios primer semestre 2020</w:t>
      </w:r>
    </w:p>
    <w:p w:rsidR="003B5001" w:rsidRDefault="003B5001" w:rsidP="00217ACD">
      <w:pPr>
        <w:pStyle w:val="Default"/>
        <w:jc w:val="both"/>
        <w:rPr>
          <w:color w:val="404040"/>
          <w:sz w:val="22"/>
          <w:szCs w:val="22"/>
        </w:rPr>
      </w:pPr>
    </w:p>
    <w:p w:rsidR="003B5001" w:rsidRDefault="00B65A53" w:rsidP="00217ACD">
      <w:pPr>
        <w:pStyle w:val="Default"/>
        <w:jc w:val="both"/>
        <w:rPr>
          <w:color w:val="404040"/>
          <w:sz w:val="22"/>
          <w:szCs w:val="22"/>
        </w:rPr>
      </w:pPr>
      <w:r w:rsidRPr="00B65A53">
        <w:rPr>
          <w:color w:val="404040"/>
          <w:sz w:val="22"/>
          <w:szCs w:val="22"/>
        </w:rPr>
        <w:t xml:space="preserve">Estos elementos </w:t>
      </w:r>
      <w:r>
        <w:rPr>
          <w:color w:val="404040"/>
          <w:sz w:val="22"/>
          <w:szCs w:val="22"/>
        </w:rPr>
        <w:t>se encuentran</w:t>
      </w:r>
      <w:r w:rsidRPr="00B65A53">
        <w:rPr>
          <w:color w:val="404040"/>
          <w:sz w:val="22"/>
          <w:szCs w:val="22"/>
        </w:rPr>
        <w:t xml:space="preserve"> en proceso de verificación, con el fin de determinar si existe o no sobrantes o faltantes y proceder con la gestión pertinente</w:t>
      </w:r>
      <w:r>
        <w:rPr>
          <w:color w:val="404040"/>
          <w:sz w:val="22"/>
          <w:szCs w:val="22"/>
        </w:rPr>
        <w:t>.</w:t>
      </w:r>
    </w:p>
    <w:p w:rsidR="003B5001" w:rsidRDefault="003B5001" w:rsidP="00217ACD">
      <w:pPr>
        <w:pStyle w:val="Default"/>
        <w:jc w:val="both"/>
        <w:rPr>
          <w:color w:val="404040"/>
          <w:sz w:val="22"/>
          <w:szCs w:val="22"/>
        </w:rPr>
      </w:pPr>
    </w:p>
    <w:p w:rsidR="004E699B" w:rsidRPr="004E699B" w:rsidRDefault="00F80C74" w:rsidP="00E13F3F">
      <w:pPr>
        <w:pStyle w:val="Prrafodelista"/>
        <w:numPr>
          <w:ilvl w:val="0"/>
          <w:numId w:val="19"/>
        </w:numPr>
        <w:autoSpaceDE w:val="0"/>
        <w:autoSpaceDN w:val="0"/>
        <w:adjustRightInd w:val="0"/>
        <w:jc w:val="both"/>
        <w:rPr>
          <w:rFonts w:ascii="Arial" w:hAnsi="Arial" w:cs="Arial"/>
          <w:color w:val="000000"/>
        </w:rPr>
      </w:pPr>
      <w:r w:rsidRPr="00F80C74">
        <w:rPr>
          <w:rFonts w:ascii="Arial" w:hAnsi="Arial" w:cs="Arial"/>
          <w:b/>
          <w:color w:val="404040"/>
        </w:rPr>
        <w:t>Plan de Mejoramiento</w:t>
      </w:r>
    </w:p>
    <w:p w:rsidR="004E699B" w:rsidRDefault="004E699B" w:rsidP="004E699B">
      <w:pPr>
        <w:pStyle w:val="Prrafodelista"/>
        <w:autoSpaceDE w:val="0"/>
        <w:autoSpaceDN w:val="0"/>
        <w:adjustRightInd w:val="0"/>
        <w:jc w:val="both"/>
        <w:rPr>
          <w:rFonts w:ascii="Arial" w:hAnsi="Arial" w:cs="Arial"/>
          <w:color w:val="000000"/>
        </w:rPr>
      </w:pPr>
    </w:p>
    <w:p w:rsidR="00ED28C8" w:rsidRPr="004E699B" w:rsidRDefault="0014064C" w:rsidP="004E699B">
      <w:pPr>
        <w:autoSpaceDE w:val="0"/>
        <w:autoSpaceDN w:val="0"/>
        <w:adjustRightInd w:val="0"/>
        <w:jc w:val="both"/>
        <w:rPr>
          <w:rFonts w:ascii="Arial" w:hAnsi="Arial" w:cs="Arial"/>
          <w:color w:val="404040"/>
        </w:rPr>
      </w:pPr>
      <w:r w:rsidRPr="004E699B">
        <w:rPr>
          <w:rFonts w:ascii="Arial" w:hAnsi="Arial" w:cs="Arial"/>
          <w:color w:val="404040"/>
        </w:rPr>
        <w:t xml:space="preserve">A </w:t>
      </w:r>
      <w:r w:rsidR="00042446" w:rsidRPr="004E699B">
        <w:rPr>
          <w:rFonts w:ascii="Arial" w:hAnsi="Arial" w:cs="Arial"/>
          <w:color w:val="404040"/>
        </w:rPr>
        <w:t>continuación,</w:t>
      </w:r>
      <w:r w:rsidRPr="004E699B">
        <w:rPr>
          <w:rFonts w:ascii="Arial" w:hAnsi="Arial" w:cs="Arial"/>
          <w:color w:val="404040"/>
        </w:rPr>
        <w:t xml:space="preserve"> se reporta el estado del Plan de Mejoramiento del Grupo de Gestión Financiera:</w:t>
      </w:r>
    </w:p>
    <w:p w:rsidR="00F80C74" w:rsidRPr="00F80C74" w:rsidRDefault="00F80C74" w:rsidP="00F80C74">
      <w:pPr>
        <w:autoSpaceDE w:val="0"/>
        <w:autoSpaceDN w:val="0"/>
        <w:adjustRightInd w:val="0"/>
        <w:jc w:val="both"/>
        <w:rPr>
          <w:rFonts w:ascii="Arial" w:hAnsi="Arial" w:cs="Arial"/>
          <w:b/>
          <w:color w:val="404040"/>
        </w:rPr>
      </w:pPr>
    </w:p>
    <w:tbl>
      <w:tblPr>
        <w:tblStyle w:val="Listaclara-nfasis1"/>
        <w:tblW w:w="9309" w:type="dxa"/>
        <w:tblInd w:w="-10" w:type="dxa"/>
        <w:tblLook w:val="04A0" w:firstRow="1" w:lastRow="0" w:firstColumn="1" w:lastColumn="0" w:noHBand="0" w:noVBand="1"/>
      </w:tblPr>
      <w:tblGrid>
        <w:gridCol w:w="1017"/>
        <w:gridCol w:w="266"/>
        <w:gridCol w:w="4341"/>
        <w:gridCol w:w="188"/>
        <w:gridCol w:w="95"/>
        <w:gridCol w:w="1843"/>
        <w:gridCol w:w="1559"/>
      </w:tblGrid>
      <w:tr w:rsidR="00023A81" w:rsidTr="00171DBA">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17" w:type="dxa"/>
          </w:tcPr>
          <w:p w:rsidR="0089173F" w:rsidRPr="0040018B" w:rsidRDefault="0089173F" w:rsidP="0089173F">
            <w:pPr>
              <w:pStyle w:val="Prrafodelista"/>
              <w:ind w:left="0"/>
              <w:jc w:val="center"/>
              <w:rPr>
                <w:rFonts w:ascii="Arial" w:hAnsi="Arial" w:cs="Arial"/>
                <w:sz w:val="20"/>
                <w:szCs w:val="20"/>
              </w:rPr>
            </w:pPr>
            <w:bookmarkStart w:id="5" w:name="_Hlk57389259"/>
            <w:r w:rsidRPr="0040018B">
              <w:rPr>
                <w:rFonts w:ascii="Arial" w:hAnsi="Arial" w:cs="Arial"/>
                <w:sz w:val="20"/>
                <w:szCs w:val="20"/>
              </w:rPr>
              <w:t>No. hallazgo</w:t>
            </w:r>
          </w:p>
        </w:tc>
        <w:tc>
          <w:tcPr>
            <w:tcW w:w="4607" w:type="dxa"/>
            <w:gridSpan w:val="2"/>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Descripción</w:t>
            </w:r>
          </w:p>
        </w:tc>
        <w:tc>
          <w:tcPr>
            <w:tcW w:w="2126" w:type="dxa"/>
            <w:gridSpan w:val="3"/>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Estado hallazgo</w:t>
            </w:r>
          </w:p>
        </w:tc>
        <w:tc>
          <w:tcPr>
            <w:tcW w:w="1559" w:type="dxa"/>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Origen hallazgo</w:t>
            </w:r>
          </w:p>
        </w:tc>
      </w:tr>
      <w:bookmarkEnd w:id="5"/>
      <w:tr w:rsidR="0040018B" w:rsidTr="00171DB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283" w:type="dxa"/>
            <w:gridSpan w:val="2"/>
          </w:tcPr>
          <w:p w:rsidR="0089173F" w:rsidRPr="00077C88" w:rsidRDefault="00BD469A" w:rsidP="00BD469A">
            <w:pPr>
              <w:pStyle w:val="Prrafodelista"/>
              <w:ind w:left="0"/>
              <w:jc w:val="center"/>
              <w:rPr>
                <w:rFonts w:asciiTheme="majorHAnsi" w:hAnsiTheme="majorHAnsi" w:cstheme="majorHAnsi"/>
                <w:b w:val="0"/>
                <w:bCs w:val="0"/>
                <w:color w:val="404040"/>
                <w:sz w:val="20"/>
                <w:szCs w:val="20"/>
              </w:rPr>
            </w:pPr>
            <w:r w:rsidRPr="00077C88">
              <w:rPr>
                <w:rFonts w:asciiTheme="majorHAnsi" w:hAnsiTheme="majorHAnsi" w:cstheme="majorHAnsi"/>
                <w:b w:val="0"/>
                <w:bCs w:val="0"/>
                <w:color w:val="404040"/>
                <w:sz w:val="20"/>
                <w:szCs w:val="20"/>
              </w:rPr>
              <w:t>324</w:t>
            </w:r>
          </w:p>
        </w:tc>
        <w:tc>
          <w:tcPr>
            <w:tcW w:w="4624" w:type="dxa"/>
            <w:gridSpan w:val="3"/>
          </w:tcPr>
          <w:p w:rsidR="0089173F" w:rsidRPr="00077C88" w:rsidRDefault="00BD469A"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04040"/>
                <w:sz w:val="20"/>
                <w:szCs w:val="20"/>
              </w:rPr>
            </w:pPr>
            <w:r w:rsidRPr="00077C88">
              <w:rPr>
                <w:rFonts w:asciiTheme="majorHAnsi" w:hAnsiTheme="majorHAnsi" w:cstheme="majorHAnsi"/>
                <w:color w:val="404040"/>
                <w:sz w:val="20"/>
                <w:szCs w:val="20"/>
              </w:rPr>
              <w:t>Avances y Anticipos Entregados. Al cierre de la vigencia 2017 el saldo de la cuenta Avances y Anticipos Entregados a nombre de Plaza Mayor Medellín Convenciones y Exposiciones S.A., en ejecución del Contrato Interadministrativo No. 219 de 2017, presentó sobreestimación por $ 316,4 millones, suma que no fue amortizada durante el año 2017, debido a que no se registraron los informes de avance por entregas parciales elaborados por el contratista y que están amparados por documentos de Recibo a Satisfacción firmados por las partes, lo cual afecta la Revelación de la información financiera y subestima la cuenta de Gastos por Comisiones, honorarios y servicios. Según Informe remitido por parte de la Contraloría General de la República el día 12 de diciembre de 2018 (Auditoria Financiera DAFP Vigencia 2017)</w:t>
            </w:r>
          </w:p>
        </w:tc>
        <w:tc>
          <w:tcPr>
            <w:tcW w:w="1843" w:type="dxa"/>
          </w:tcPr>
          <w:p w:rsidR="0089173F" w:rsidRPr="00077C88" w:rsidRDefault="00BD469A" w:rsidP="00BD469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Para cierre</w:t>
            </w:r>
          </w:p>
        </w:tc>
        <w:tc>
          <w:tcPr>
            <w:tcW w:w="1559" w:type="dxa"/>
          </w:tcPr>
          <w:p w:rsidR="0089173F" w:rsidRPr="00077C88" w:rsidRDefault="00BD469A" w:rsidP="00BD469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Auditoría Externa de Contraloría</w:t>
            </w:r>
          </w:p>
        </w:tc>
      </w:tr>
      <w:tr w:rsidR="0040018B" w:rsidTr="00171DBA">
        <w:trPr>
          <w:trHeight w:val="518"/>
        </w:trPr>
        <w:tc>
          <w:tcPr>
            <w:cnfStyle w:val="001000000000" w:firstRow="0" w:lastRow="0" w:firstColumn="1" w:lastColumn="0" w:oddVBand="0" w:evenVBand="0" w:oddHBand="0" w:evenHBand="0" w:firstRowFirstColumn="0" w:firstRowLastColumn="0" w:lastRowFirstColumn="0" w:lastRowLastColumn="0"/>
            <w:tcW w:w="1283" w:type="dxa"/>
            <w:gridSpan w:val="2"/>
          </w:tcPr>
          <w:p w:rsidR="0089173F" w:rsidRPr="00077C88" w:rsidRDefault="00BD469A" w:rsidP="001626A3">
            <w:pPr>
              <w:pStyle w:val="Prrafodelista"/>
              <w:ind w:left="0"/>
              <w:jc w:val="center"/>
              <w:rPr>
                <w:rFonts w:asciiTheme="majorHAnsi" w:hAnsiTheme="majorHAnsi" w:cstheme="majorHAnsi"/>
                <w:b w:val="0"/>
                <w:color w:val="000000"/>
                <w:sz w:val="20"/>
                <w:szCs w:val="20"/>
              </w:rPr>
            </w:pPr>
            <w:r w:rsidRPr="00077C88">
              <w:rPr>
                <w:rFonts w:asciiTheme="majorHAnsi" w:hAnsiTheme="majorHAnsi" w:cstheme="majorHAnsi"/>
                <w:b w:val="0"/>
                <w:color w:val="000000"/>
                <w:sz w:val="20"/>
                <w:szCs w:val="20"/>
              </w:rPr>
              <w:t>325</w:t>
            </w:r>
          </w:p>
        </w:tc>
        <w:tc>
          <w:tcPr>
            <w:tcW w:w="4624" w:type="dxa"/>
            <w:gridSpan w:val="3"/>
          </w:tcPr>
          <w:p w:rsidR="0089173F" w:rsidRPr="00077C88" w:rsidRDefault="00BD469A" w:rsidP="00077C88">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Depreciación Acumulada de Equipos de Cómputo. A 31 de diciembre de 2017, la cuenta Depreciación Acumulada de Equipos de Cómputo presentó sobrestimación del saldo de la cuenta en $154,7 millones debido a mayores valores calculados de depreciación con relación al costo de los bienes, lo cual, afectó por sobrestimación el saldo de la cuenta de Patrimonio - Provisiones, Agotamiento, Depreciaciones y Amortizaciones y el principio de Revelación de la información contable. Según Informe remitido por parte de la Contraloría General de la República el día 12 de diciembre de 2018 (Auditoria Financiera DAFP Vigencia 2017)</w:t>
            </w:r>
          </w:p>
        </w:tc>
        <w:tc>
          <w:tcPr>
            <w:tcW w:w="1843" w:type="dxa"/>
          </w:tcPr>
          <w:p w:rsidR="0089173F" w:rsidRPr="00077C88" w:rsidRDefault="00BD469A" w:rsidP="00BD469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Para cierre</w:t>
            </w:r>
          </w:p>
        </w:tc>
        <w:tc>
          <w:tcPr>
            <w:tcW w:w="1559" w:type="dxa"/>
          </w:tcPr>
          <w:p w:rsidR="0089173F" w:rsidRPr="00077C88" w:rsidRDefault="00BD469A" w:rsidP="00BD469A">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Auditoría Externa de Contraloría</w:t>
            </w:r>
          </w:p>
        </w:tc>
      </w:tr>
      <w:tr w:rsidR="0040018B" w:rsidTr="00171DB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283" w:type="dxa"/>
            <w:gridSpan w:val="2"/>
          </w:tcPr>
          <w:p w:rsidR="0089173F" w:rsidRPr="00077C88" w:rsidRDefault="00BD469A" w:rsidP="001626A3">
            <w:pPr>
              <w:pStyle w:val="Prrafodelista"/>
              <w:ind w:left="0"/>
              <w:jc w:val="center"/>
              <w:rPr>
                <w:rFonts w:asciiTheme="majorHAnsi" w:hAnsiTheme="majorHAnsi" w:cstheme="majorHAnsi"/>
                <w:b w:val="0"/>
                <w:color w:val="000000"/>
                <w:sz w:val="20"/>
                <w:szCs w:val="20"/>
              </w:rPr>
            </w:pPr>
            <w:r w:rsidRPr="00077C88">
              <w:rPr>
                <w:rFonts w:asciiTheme="majorHAnsi" w:hAnsiTheme="majorHAnsi" w:cstheme="majorHAnsi"/>
                <w:b w:val="0"/>
                <w:color w:val="000000"/>
                <w:sz w:val="20"/>
                <w:szCs w:val="20"/>
              </w:rPr>
              <w:t>326</w:t>
            </w:r>
          </w:p>
        </w:tc>
        <w:tc>
          <w:tcPr>
            <w:tcW w:w="4624" w:type="dxa"/>
            <w:gridSpan w:val="3"/>
          </w:tcPr>
          <w:p w:rsidR="0089173F" w:rsidRDefault="00BD469A"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Amortización Acumulada de Intangibles. Al cierre de la vigencia 2017, el saldo de la cuenta Amortización Acumulada de Intangibles está subestimado en $84,4 millones, debido a inconsistencias en el cálculo, lo cual afectó por subestimación, el saldo de la cuenta de Patrimonio 3128-Provisiones, Agotamiento, Depreciaciones y amortizaciones y el principio de Revelación de la información contable. Según Informe remitido por parte de la Contraloría General de la República el día 12 de diciembre de 2018 (Auditoria Financiera DAFP Vigencia 2017)</w:t>
            </w:r>
          </w:p>
          <w:p w:rsidR="00171DBA" w:rsidRDefault="00171DBA"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rsidR="00171DBA" w:rsidRDefault="00171DBA"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rsidR="00171DBA" w:rsidRPr="00077C88" w:rsidRDefault="00171DBA"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1843" w:type="dxa"/>
          </w:tcPr>
          <w:p w:rsidR="0089173F" w:rsidRPr="00077C88" w:rsidRDefault="003B3D68" w:rsidP="003B3D68">
            <w:pPr>
              <w:pStyle w:val="Prrafodelista"/>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      </w:t>
            </w:r>
            <w:r w:rsidR="00BD469A" w:rsidRPr="00077C88">
              <w:rPr>
                <w:rFonts w:asciiTheme="majorHAnsi" w:hAnsiTheme="majorHAnsi" w:cstheme="majorHAnsi"/>
                <w:color w:val="000000"/>
                <w:sz w:val="20"/>
                <w:szCs w:val="20"/>
              </w:rPr>
              <w:t>Para cierre</w:t>
            </w:r>
          </w:p>
        </w:tc>
        <w:tc>
          <w:tcPr>
            <w:tcW w:w="1559" w:type="dxa"/>
          </w:tcPr>
          <w:p w:rsidR="0089173F" w:rsidRPr="00077C88" w:rsidRDefault="00BD469A" w:rsidP="00077C8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Auditoría Externa de Contraloría</w:t>
            </w:r>
          </w:p>
        </w:tc>
      </w:tr>
      <w:tr w:rsidR="00171DBA" w:rsidRPr="00171DBA" w:rsidTr="00171DBA">
        <w:trPr>
          <w:trHeight w:val="518"/>
        </w:trPr>
        <w:tc>
          <w:tcPr>
            <w:cnfStyle w:val="001000000000" w:firstRow="0" w:lastRow="0" w:firstColumn="1" w:lastColumn="0" w:oddVBand="0" w:evenVBand="0" w:oddHBand="0" w:evenHBand="0" w:firstRowFirstColumn="0" w:firstRowLastColumn="0" w:lastRowFirstColumn="0" w:lastRowLastColumn="0"/>
            <w:tcW w:w="1283" w:type="dxa"/>
            <w:gridSpan w:val="2"/>
            <w:shd w:val="clear" w:color="auto" w:fill="5B9BD5" w:themeFill="accent1"/>
          </w:tcPr>
          <w:p w:rsidR="00171DBA" w:rsidRPr="00171DBA" w:rsidRDefault="00171DBA" w:rsidP="002D5EC6">
            <w:pPr>
              <w:pStyle w:val="Prrafodelista"/>
              <w:ind w:left="0"/>
              <w:jc w:val="center"/>
              <w:rPr>
                <w:rFonts w:ascii="Arial" w:hAnsi="Arial" w:cs="Arial"/>
                <w:color w:val="FFFFFF" w:themeColor="background1"/>
                <w:sz w:val="20"/>
                <w:szCs w:val="20"/>
              </w:rPr>
            </w:pPr>
            <w:r w:rsidRPr="00171DBA">
              <w:rPr>
                <w:rFonts w:ascii="Arial" w:hAnsi="Arial" w:cs="Arial"/>
                <w:color w:val="FFFFFF" w:themeColor="background1"/>
                <w:sz w:val="20"/>
                <w:szCs w:val="20"/>
              </w:rPr>
              <w:t>No. hallazgo</w:t>
            </w:r>
          </w:p>
        </w:tc>
        <w:tc>
          <w:tcPr>
            <w:tcW w:w="4624" w:type="dxa"/>
            <w:gridSpan w:val="3"/>
            <w:shd w:val="clear" w:color="auto" w:fill="5B9BD5" w:themeFill="accent1"/>
          </w:tcPr>
          <w:p w:rsidR="00171DBA" w:rsidRPr="00171DBA" w:rsidRDefault="00171DBA" w:rsidP="002D5E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71DBA">
              <w:rPr>
                <w:rFonts w:ascii="Arial" w:hAnsi="Arial" w:cs="Arial"/>
                <w:b/>
                <w:color w:val="FFFFFF" w:themeColor="background1"/>
                <w:sz w:val="20"/>
                <w:szCs w:val="20"/>
              </w:rPr>
              <w:t>Descripción</w:t>
            </w:r>
          </w:p>
        </w:tc>
        <w:tc>
          <w:tcPr>
            <w:tcW w:w="1843" w:type="dxa"/>
            <w:shd w:val="clear" w:color="auto" w:fill="5B9BD5" w:themeFill="accent1"/>
          </w:tcPr>
          <w:p w:rsidR="00171DBA" w:rsidRPr="00171DBA" w:rsidRDefault="00171DBA" w:rsidP="002D5E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71DBA">
              <w:rPr>
                <w:rFonts w:ascii="Arial" w:hAnsi="Arial" w:cs="Arial"/>
                <w:b/>
                <w:color w:val="FFFFFF" w:themeColor="background1"/>
                <w:sz w:val="20"/>
                <w:szCs w:val="20"/>
              </w:rPr>
              <w:t>Estado hallazgo</w:t>
            </w:r>
          </w:p>
        </w:tc>
        <w:tc>
          <w:tcPr>
            <w:tcW w:w="1559" w:type="dxa"/>
            <w:shd w:val="clear" w:color="auto" w:fill="5B9BD5" w:themeFill="accent1"/>
          </w:tcPr>
          <w:p w:rsidR="00171DBA" w:rsidRPr="00171DBA" w:rsidRDefault="00171DBA" w:rsidP="002D5EC6">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171DBA">
              <w:rPr>
                <w:rFonts w:ascii="Arial" w:hAnsi="Arial" w:cs="Arial"/>
                <w:b/>
                <w:color w:val="FFFFFF" w:themeColor="background1"/>
                <w:sz w:val="20"/>
                <w:szCs w:val="20"/>
              </w:rPr>
              <w:t>Origen hallazgo</w:t>
            </w:r>
          </w:p>
        </w:tc>
      </w:tr>
      <w:tr w:rsidR="0040018B" w:rsidTr="00171DBA">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283" w:type="dxa"/>
            <w:gridSpan w:val="2"/>
          </w:tcPr>
          <w:p w:rsidR="0089173F" w:rsidRPr="00077C88" w:rsidRDefault="00077C88" w:rsidP="001626A3">
            <w:pPr>
              <w:pStyle w:val="Prrafodelista"/>
              <w:ind w:left="0"/>
              <w:jc w:val="center"/>
              <w:rPr>
                <w:rFonts w:asciiTheme="majorHAnsi" w:hAnsiTheme="majorHAnsi" w:cstheme="majorHAnsi"/>
                <w:b w:val="0"/>
                <w:color w:val="000000"/>
                <w:sz w:val="20"/>
                <w:szCs w:val="20"/>
              </w:rPr>
            </w:pPr>
            <w:r w:rsidRPr="00077C88">
              <w:rPr>
                <w:rFonts w:asciiTheme="majorHAnsi" w:hAnsiTheme="majorHAnsi" w:cstheme="majorHAnsi"/>
                <w:b w:val="0"/>
                <w:color w:val="000000"/>
                <w:sz w:val="20"/>
                <w:szCs w:val="20"/>
              </w:rPr>
              <w:t>327</w:t>
            </w:r>
          </w:p>
        </w:tc>
        <w:tc>
          <w:tcPr>
            <w:tcW w:w="4624" w:type="dxa"/>
            <w:gridSpan w:val="3"/>
          </w:tcPr>
          <w:p w:rsidR="00BF1F3A" w:rsidRPr="00077C88" w:rsidRDefault="00077C88" w:rsidP="00077C8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Se evidencia la materialización del riesgo "Incumplimiento Legal". Al revisar el Estado de Cambios en el Patrimonio remitido a través de informe oficial para la Comisión Legal de cuentas de la vigencia 2017, se encontró que la entidad reportó el valor del patrimonio distinto al consignado en los Estados Financieros a 31 de diciembre de 2017.</w:t>
            </w:r>
          </w:p>
        </w:tc>
        <w:tc>
          <w:tcPr>
            <w:tcW w:w="1843" w:type="dxa"/>
          </w:tcPr>
          <w:p w:rsidR="0089173F" w:rsidRPr="00077C88" w:rsidRDefault="00077C88" w:rsidP="003B3D68">
            <w:pPr>
              <w:pStyle w:val="Prrafodelista"/>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       </w:t>
            </w:r>
            <w:r w:rsidRPr="00077C88">
              <w:rPr>
                <w:rFonts w:asciiTheme="majorHAnsi" w:hAnsiTheme="majorHAnsi" w:cstheme="majorHAnsi"/>
                <w:color w:val="000000"/>
                <w:sz w:val="20"/>
                <w:szCs w:val="20"/>
              </w:rPr>
              <w:t>Para cierre</w:t>
            </w:r>
          </w:p>
        </w:tc>
        <w:tc>
          <w:tcPr>
            <w:tcW w:w="1559" w:type="dxa"/>
          </w:tcPr>
          <w:p w:rsidR="0089173F" w:rsidRPr="00077C88" w:rsidRDefault="00077C88" w:rsidP="003B3D68">
            <w:pPr>
              <w:pStyle w:val="Prrafodelista"/>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Seguimientos OCI</w:t>
            </w:r>
          </w:p>
        </w:tc>
      </w:tr>
      <w:tr w:rsidR="0040018B" w:rsidTr="00171DBA">
        <w:trPr>
          <w:trHeight w:val="1120"/>
        </w:trPr>
        <w:tc>
          <w:tcPr>
            <w:cnfStyle w:val="001000000000" w:firstRow="0" w:lastRow="0" w:firstColumn="1" w:lastColumn="0" w:oddVBand="0" w:evenVBand="0" w:oddHBand="0" w:evenHBand="0" w:firstRowFirstColumn="0" w:firstRowLastColumn="0" w:lastRowFirstColumn="0" w:lastRowLastColumn="0"/>
            <w:tcW w:w="1283" w:type="dxa"/>
            <w:gridSpan w:val="2"/>
          </w:tcPr>
          <w:p w:rsidR="0040018B" w:rsidRPr="00077C88" w:rsidRDefault="00077C88" w:rsidP="001626A3">
            <w:pPr>
              <w:pStyle w:val="Prrafodelista"/>
              <w:ind w:left="0"/>
              <w:jc w:val="center"/>
              <w:rPr>
                <w:rFonts w:asciiTheme="majorHAnsi" w:hAnsiTheme="majorHAnsi" w:cstheme="majorHAnsi"/>
                <w:b w:val="0"/>
                <w:color w:val="000000"/>
                <w:sz w:val="20"/>
                <w:szCs w:val="20"/>
              </w:rPr>
            </w:pPr>
            <w:r w:rsidRPr="00077C88">
              <w:rPr>
                <w:rFonts w:asciiTheme="majorHAnsi" w:hAnsiTheme="majorHAnsi" w:cstheme="majorHAnsi"/>
                <w:b w:val="0"/>
                <w:color w:val="000000"/>
                <w:sz w:val="20"/>
                <w:szCs w:val="20"/>
              </w:rPr>
              <w:t>328</w:t>
            </w:r>
          </w:p>
          <w:p w:rsidR="0040018B" w:rsidRPr="00077C88" w:rsidRDefault="0040018B" w:rsidP="001626A3">
            <w:pPr>
              <w:pStyle w:val="Prrafodelista"/>
              <w:ind w:left="0"/>
              <w:jc w:val="center"/>
              <w:rPr>
                <w:rFonts w:asciiTheme="majorHAnsi" w:hAnsiTheme="majorHAnsi" w:cstheme="majorHAnsi"/>
                <w:b w:val="0"/>
                <w:color w:val="000000"/>
                <w:sz w:val="20"/>
                <w:szCs w:val="20"/>
              </w:rPr>
            </w:pPr>
          </w:p>
          <w:p w:rsidR="0040018B" w:rsidRPr="00077C88" w:rsidRDefault="0040018B" w:rsidP="001626A3">
            <w:pPr>
              <w:pStyle w:val="Prrafodelista"/>
              <w:ind w:left="0"/>
              <w:jc w:val="center"/>
              <w:rPr>
                <w:rFonts w:asciiTheme="majorHAnsi" w:hAnsiTheme="majorHAnsi" w:cstheme="majorHAnsi"/>
                <w:b w:val="0"/>
                <w:color w:val="000000"/>
                <w:sz w:val="20"/>
                <w:szCs w:val="20"/>
              </w:rPr>
            </w:pPr>
          </w:p>
          <w:p w:rsidR="0089173F" w:rsidRPr="00077C88" w:rsidRDefault="0089173F" w:rsidP="001626A3">
            <w:pPr>
              <w:pStyle w:val="Prrafodelista"/>
              <w:ind w:left="0"/>
              <w:jc w:val="center"/>
              <w:rPr>
                <w:rFonts w:asciiTheme="majorHAnsi" w:hAnsiTheme="majorHAnsi" w:cstheme="majorHAnsi"/>
                <w:b w:val="0"/>
                <w:color w:val="000000"/>
                <w:sz w:val="20"/>
                <w:szCs w:val="20"/>
              </w:rPr>
            </w:pPr>
          </w:p>
        </w:tc>
        <w:tc>
          <w:tcPr>
            <w:tcW w:w="4624" w:type="dxa"/>
            <w:gridSpan w:val="3"/>
          </w:tcPr>
          <w:p w:rsidR="0089173F" w:rsidRPr="00077C88" w:rsidRDefault="00077C88" w:rsidP="003B3D68">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Se evidencia la materialización del riesgo "Incumplimiento Legal". No se presentó la información exógena Distrital de la vigencia 2018 en los tiempos establecidos por la Secretaria de Hacienda Distrital.</w:t>
            </w:r>
          </w:p>
        </w:tc>
        <w:tc>
          <w:tcPr>
            <w:tcW w:w="1843" w:type="dxa"/>
          </w:tcPr>
          <w:p w:rsidR="0089173F" w:rsidRPr="00077C88" w:rsidRDefault="00077C88" w:rsidP="003B3D6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Para cierre</w:t>
            </w:r>
          </w:p>
        </w:tc>
        <w:tc>
          <w:tcPr>
            <w:tcW w:w="1559" w:type="dxa"/>
          </w:tcPr>
          <w:p w:rsidR="0089173F" w:rsidRPr="00077C88" w:rsidRDefault="00077C88" w:rsidP="003B3D68">
            <w:pPr>
              <w:pStyle w:val="Prrafodelista"/>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Mejora – Autoevaluación</w:t>
            </w:r>
          </w:p>
        </w:tc>
      </w:tr>
      <w:tr w:rsidR="0040018B" w:rsidTr="00171DBA">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283" w:type="dxa"/>
            <w:gridSpan w:val="2"/>
          </w:tcPr>
          <w:p w:rsidR="0040018B" w:rsidRPr="00077C88" w:rsidRDefault="00077C88" w:rsidP="001626A3">
            <w:pPr>
              <w:pStyle w:val="Prrafodelista"/>
              <w:ind w:left="0"/>
              <w:jc w:val="center"/>
              <w:rPr>
                <w:rFonts w:asciiTheme="majorHAnsi" w:hAnsiTheme="majorHAnsi" w:cstheme="majorHAnsi"/>
                <w:b w:val="0"/>
                <w:color w:val="000000"/>
                <w:sz w:val="20"/>
                <w:szCs w:val="20"/>
              </w:rPr>
            </w:pPr>
            <w:r w:rsidRPr="00077C88">
              <w:rPr>
                <w:rFonts w:asciiTheme="majorHAnsi" w:hAnsiTheme="majorHAnsi" w:cstheme="majorHAnsi"/>
                <w:b w:val="0"/>
                <w:color w:val="000000"/>
                <w:sz w:val="20"/>
                <w:szCs w:val="20"/>
              </w:rPr>
              <w:t>336</w:t>
            </w:r>
          </w:p>
          <w:p w:rsidR="0040018B" w:rsidRPr="00077C88" w:rsidRDefault="0040018B" w:rsidP="001626A3">
            <w:pPr>
              <w:pStyle w:val="Prrafodelista"/>
              <w:ind w:left="0"/>
              <w:jc w:val="center"/>
              <w:rPr>
                <w:rFonts w:asciiTheme="majorHAnsi" w:hAnsiTheme="majorHAnsi" w:cstheme="majorHAnsi"/>
                <w:b w:val="0"/>
                <w:color w:val="000000"/>
                <w:sz w:val="20"/>
                <w:szCs w:val="20"/>
              </w:rPr>
            </w:pPr>
          </w:p>
          <w:p w:rsidR="0040018B" w:rsidRPr="00077C88" w:rsidRDefault="0040018B" w:rsidP="001626A3">
            <w:pPr>
              <w:pStyle w:val="Prrafodelista"/>
              <w:ind w:left="0"/>
              <w:jc w:val="center"/>
              <w:rPr>
                <w:rFonts w:asciiTheme="majorHAnsi" w:hAnsiTheme="majorHAnsi" w:cstheme="majorHAnsi"/>
                <w:b w:val="0"/>
                <w:color w:val="000000"/>
                <w:sz w:val="20"/>
                <w:szCs w:val="20"/>
              </w:rPr>
            </w:pPr>
          </w:p>
          <w:p w:rsidR="0089173F" w:rsidRPr="00077C88" w:rsidRDefault="0089173F" w:rsidP="00F60646">
            <w:pPr>
              <w:pStyle w:val="Prrafodelista"/>
              <w:ind w:left="0"/>
              <w:rPr>
                <w:rFonts w:asciiTheme="majorHAnsi" w:hAnsiTheme="majorHAnsi" w:cstheme="majorHAnsi"/>
                <w:b w:val="0"/>
                <w:color w:val="000000"/>
                <w:sz w:val="20"/>
                <w:szCs w:val="20"/>
              </w:rPr>
            </w:pPr>
          </w:p>
        </w:tc>
        <w:tc>
          <w:tcPr>
            <w:tcW w:w="4529" w:type="dxa"/>
            <w:gridSpan w:val="2"/>
          </w:tcPr>
          <w:p w:rsidR="0089173F" w:rsidRPr="00077C88" w:rsidRDefault="00077C88" w:rsidP="003B3D68">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Se evidencia la materialización del riesgo “Incumplimiento Legal” evidenciado por la Contaduría General de la Nación en las normas para la presentación de los estados financieros y Revelaciones – Entidades de Gobierno.</w:t>
            </w:r>
          </w:p>
        </w:tc>
        <w:tc>
          <w:tcPr>
            <w:tcW w:w="1938" w:type="dxa"/>
            <w:gridSpan w:val="2"/>
          </w:tcPr>
          <w:p w:rsidR="0089173F" w:rsidRPr="00077C88" w:rsidRDefault="00077C88" w:rsidP="003B3D6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Para cierre</w:t>
            </w:r>
          </w:p>
        </w:tc>
        <w:tc>
          <w:tcPr>
            <w:tcW w:w="1559" w:type="dxa"/>
          </w:tcPr>
          <w:p w:rsidR="0089173F" w:rsidRPr="00077C88" w:rsidRDefault="00077C88" w:rsidP="003B3D68">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77C88">
              <w:rPr>
                <w:rFonts w:asciiTheme="majorHAnsi" w:hAnsiTheme="majorHAnsi" w:cstheme="majorHAnsi"/>
                <w:color w:val="000000"/>
                <w:sz w:val="20"/>
                <w:szCs w:val="20"/>
              </w:rPr>
              <w:t>Seguimiento Contaduría General de la Nación</w:t>
            </w:r>
          </w:p>
        </w:tc>
      </w:tr>
    </w:tbl>
    <w:p w:rsidR="00ED28C8" w:rsidRPr="00193E85" w:rsidRDefault="0014064C" w:rsidP="00C92428">
      <w:pPr>
        <w:rPr>
          <w:rFonts w:ascii="Arial" w:hAnsi="Arial" w:cs="Arial"/>
          <w:b/>
          <w:i/>
          <w:color w:val="000000"/>
          <w:sz w:val="14"/>
          <w:szCs w:val="14"/>
        </w:rPr>
      </w:pPr>
      <w:r w:rsidRPr="00193E85">
        <w:rPr>
          <w:rFonts w:ascii="Arial" w:hAnsi="Arial" w:cs="Arial"/>
          <w:b/>
          <w:i/>
          <w:color w:val="000000"/>
          <w:sz w:val="14"/>
          <w:szCs w:val="14"/>
        </w:rPr>
        <w:t xml:space="preserve">Fuente: Plan de mejoramiento </w:t>
      </w:r>
      <w:r w:rsidR="00ED62F2" w:rsidRPr="00193E85">
        <w:rPr>
          <w:rFonts w:ascii="Arial" w:hAnsi="Arial" w:cs="Arial"/>
          <w:b/>
          <w:i/>
          <w:color w:val="000000"/>
          <w:sz w:val="14"/>
          <w:szCs w:val="14"/>
        </w:rPr>
        <w:t>–</w:t>
      </w:r>
      <w:r w:rsidRPr="00193E85">
        <w:rPr>
          <w:rFonts w:ascii="Arial" w:hAnsi="Arial" w:cs="Arial"/>
          <w:b/>
          <w:i/>
          <w:color w:val="000000"/>
          <w:sz w:val="14"/>
          <w:szCs w:val="14"/>
        </w:rPr>
        <w:t xml:space="preserve"> SGI</w:t>
      </w:r>
    </w:p>
    <w:p w:rsidR="00C449D7" w:rsidRDefault="00C449D7" w:rsidP="00C92428">
      <w:pPr>
        <w:rPr>
          <w:rFonts w:ascii="Arial" w:hAnsi="Arial" w:cs="Arial"/>
          <w:i/>
          <w:color w:val="000000"/>
          <w:sz w:val="14"/>
          <w:szCs w:val="14"/>
        </w:rPr>
      </w:pPr>
    </w:p>
    <w:p w:rsidR="00C449D7" w:rsidRPr="00042446" w:rsidRDefault="00C449D7" w:rsidP="00C92428">
      <w:pPr>
        <w:rPr>
          <w:rFonts w:ascii="Arial" w:hAnsi="Arial" w:cs="Arial"/>
          <w:i/>
          <w:color w:val="000000"/>
          <w:sz w:val="14"/>
          <w:szCs w:val="14"/>
        </w:rPr>
      </w:pPr>
    </w:p>
    <w:p w:rsidR="003C25BF" w:rsidRDefault="000E0DA9" w:rsidP="000E0DA9">
      <w:pPr>
        <w:jc w:val="both"/>
        <w:rPr>
          <w:rFonts w:ascii="Arial" w:hAnsi="Arial" w:cs="Arial"/>
          <w:color w:val="404040"/>
        </w:rPr>
      </w:pPr>
      <w:r w:rsidRPr="000E0DA9">
        <w:rPr>
          <w:rFonts w:ascii="Arial" w:hAnsi="Arial" w:cs="Arial"/>
          <w:color w:val="404040"/>
        </w:rPr>
        <w:t xml:space="preserve">De acuerdo con </w:t>
      </w:r>
      <w:r>
        <w:rPr>
          <w:rFonts w:ascii="Arial" w:hAnsi="Arial" w:cs="Arial"/>
          <w:color w:val="404040"/>
        </w:rPr>
        <w:t xml:space="preserve">el anterior cuadro, </w:t>
      </w:r>
      <w:r w:rsidRPr="000E0DA9">
        <w:rPr>
          <w:rFonts w:ascii="Arial" w:hAnsi="Arial" w:cs="Arial"/>
          <w:color w:val="404040"/>
        </w:rPr>
        <w:t xml:space="preserve">los planes de mejoramiento </w:t>
      </w:r>
      <w:r>
        <w:rPr>
          <w:rFonts w:ascii="Arial" w:hAnsi="Arial" w:cs="Arial"/>
          <w:color w:val="404040"/>
        </w:rPr>
        <w:t>números 324,325 y 326 se definieron con ocasión de la auditoría financiera efectuada por parte de la Contraloría General de la República, cuy</w:t>
      </w:r>
      <w:r w:rsidR="00F205D5">
        <w:rPr>
          <w:rFonts w:ascii="Arial" w:hAnsi="Arial" w:cs="Arial"/>
          <w:color w:val="404040"/>
        </w:rPr>
        <w:t>a</w:t>
      </w:r>
      <w:r w:rsidR="00842563">
        <w:rPr>
          <w:rFonts w:ascii="Arial" w:hAnsi="Arial" w:cs="Arial"/>
          <w:color w:val="404040"/>
        </w:rPr>
        <w:t>s acciones fueron ejecutadas durante la vigencia 2019 y reportadas al ente de control a través del SIRECI.</w:t>
      </w:r>
    </w:p>
    <w:p w:rsidR="00842563" w:rsidRDefault="00842563" w:rsidP="000E0DA9">
      <w:pPr>
        <w:jc w:val="both"/>
        <w:rPr>
          <w:rFonts w:ascii="Arial" w:hAnsi="Arial" w:cs="Arial"/>
          <w:color w:val="404040"/>
        </w:rPr>
      </w:pPr>
    </w:p>
    <w:p w:rsidR="00842563" w:rsidRPr="00842563" w:rsidRDefault="00842563" w:rsidP="000E0DA9">
      <w:pPr>
        <w:jc w:val="both"/>
        <w:rPr>
          <w:rFonts w:ascii="Arial" w:hAnsi="Arial" w:cs="Arial"/>
          <w:color w:val="404040"/>
        </w:rPr>
      </w:pPr>
      <w:r>
        <w:rPr>
          <w:rFonts w:ascii="Arial" w:hAnsi="Arial" w:cs="Arial"/>
          <w:color w:val="404040"/>
        </w:rPr>
        <w:t xml:space="preserve">Los hallazgos </w:t>
      </w:r>
      <w:r w:rsidR="00171DBA">
        <w:rPr>
          <w:rFonts w:ascii="Arial" w:hAnsi="Arial" w:cs="Arial"/>
          <w:color w:val="404040"/>
        </w:rPr>
        <w:t xml:space="preserve">números </w:t>
      </w:r>
      <w:r>
        <w:rPr>
          <w:rFonts w:ascii="Arial" w:hAnsi="Arial" w:cs="Arial"/>
          <w:color w:val="404040"/>
        </w:rPr>
        <w:t>327,328 y 336, corresponden a la materialización del riesgo “</w:t>
      </w:r>
      <w:r w:rsidRPr="00842563">
        <w:rPr>
          <w:rFonts w:ascii="Arial" w:hAnsi="Arial" w:cs="Arial"/>
          <w:i/>
          <w:color w:val="404040"/>
        </w:rPr>
        <w:t>Incumplimiento Legal”</w:t>
      </w:r>
      <w:r>
        <w:rPr>
          <w:rFonts w:ascii="Arial" w:hAnsi="Arial" w:cs="Arial"/>
          <w:color w:val="404040"/>
        </w:rPr>
        <w:t>, según el reporte del Sistema Integrado de Gestión Institucional – SGI, las acciones de mejora propuestas, ya fueron ejecutadas, pero al igual que los anteriores hallazgos, a</w:t>
      </w:r>
      <w:r w:rsidR="00171DBA">
        <w:rPr>
          <w:rFonts w:ascii="Arial" w:hAnsi="Arial" w:cs="Arial"/>
          <w:color w:val="404040"/>
        </w:rPr>
        <w:t>ú</w:t>
      </w:r>
      <w:r>
        <w:rPr>
          <w:rFonts w:ascii="Arial" w:hAnsi="Arial" w:cs="Arial"/>
          <w:color w:val="404040"/>
        </w:rPr>
        <w:t>n no se ha realizado el seguimiento y respectivo cierre, a pesar de encontrarse en estado “para cierre”.</w:t>
      </w:r>
      <w:r w:rsidR="002B2C2D">
        <w:rPr>
          <w:rFonts w:ascii="Arial" w:hAnsi="Arial" w:cs="Arial"/>
          <w:color w:val="404040"/>
        </w:rPr>
        <w:t xml:space="preserve"> Por lo anterior, es necesario gestionar ante la Oficina Asesora de Planeación.</w:t>
      </w:r>
    </w:p>
    <w:p w:rsidR="00842563" w:rsidRDefault="00842563" w:rsidP="000E0DA9">
      <w:pPr>
        <w:jc w:val="both"/>
        <w:rPr>
          <w:rFonts w:ascii="Arial" w:hAnsi="Arial" w:cs="Arial"/>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171DBA" w:rsidRDefault="00171DBA" w:rsidP="0087732C">
      <w:pPr>
        <w:rPr>
          <w:rFonts w:ascii="Arial" w:hAnsi="Arial" w:cs="Arial"/>
          <w:b/>
          <w:color w:val="404040"/>
        </w:rPr>
      </w:pPr>
    </w:p>
    <w:p w:rsidR="00873446" w:rsidRDefault="0087732C" w:rsidP="0087732C">
      <w:pPr>
        <w:rPr>
          <w:rFonts w:ascii="Arial" w:hAnsi="Arial" w:cs="Arial"/>
          <w:b/>
          <w:color w:val="404040"/>
        </w:rPr>
      </w:pPr>
      <w:r w:rsidRPr="0087732C">
        <w:rPr>
          <w:rFonts w:ascii="Arial" w:hAnsi="Arial" w:cs="Arial"/>
          <w:b/>
          <w:color w:val="404040"/>
        </w:rPr>
        <w:t>Conclusiones y Recomendaciones</w:t>
      </w:r>
      <w:r w:rsidR="000C3229" w:rsidRPr="0087732C">
        <w:rPr>
          <w:rFonts w:ascii="Arial" w:hAnsi="Arial" w:cs="Arial"/>
          <w:b/>
          <w:color w:val="404040"/>
        </w:rPr>
        <w:t xml:space="preserve"> </w:t>
      </w:r>
    </w:p>
    <w:p w:rsidR="00DF757A" w:rsidRDefault="00DF757A" w:rsidP="0087732C">
      <w:pPr>
        <w:rPr>
          <w:rFonts w:ascii="Arial" w:hAnsi="Arial" w:cs="Arial"/>
          <w:b/>
          <w:color w:val="404040"/>
        </w:rPr>
      </w:pPr>
    </w:p>
    <w:p w:rsidR="004C0A40" w:rsidRDefault="004C0A40" w:rsidP="004F5719">
      <w:pPr>
        <w:pStyle w:val="Prrafodelista"/>
        <w:numPr>
          <w:ilvl w:val="0"/>
          <w:numId w:val="45"/>
        </w:numPr>
        <w:autoSpaceDE w:val="0"/>
        <w:autoSpaceDN w:val="0"/>
        <w:adjustRightInd w:val="0"/>
        <w:spacing w:before="240" w:after="200" w:line="276" w:lineRule="auto"/>
        <w:jc w:val="both"/>
        <w:rPr>
          <w:rFonts w:ascii="Arial" w:hAnsi="Arial" w:cs="Arial"/>
          <w:color w:val="404040"/>
        </w:rPr>
      </w:pPr>
      <w:r w:rsidRPr="004F5719">
        <w:rPr>
          <w:rFonts w:ascii="Arial" w:hAnsi="Arial" w:cs="Arial"/>
          <w:color w:val="404040"/>
        </w:rPr>
        <w:t xml:space="preserve">Según </w:t>
      </w:r>
      <w:r w:rsidR="00C258B3" w:rsidRPr="004F5719">
        <w:rPr>
          <w:rFonts w:ascii="Arial" w:hAnsi="Arial" w:cs="Arial"/>
          <w:color w:val="404040"/>
        </w:rPr>
        <w:t>las políticas de seguridad contenidas en el Decreto No. 1068 de mayo de 2015 Parte 9 y la Circular externa No. 040 de octubre de 2015 expedidos por el Ministerio de Hacienda y Crédito Público</w:t>
      </w:r>
      <w:r w:rsidR="00B943C1" w:rsidRPr="004F5719">
        <w:rPr>
          <w:rFonts w:ascii="Arial" w:hAnsi="Arial" w:cs="Arial"/>
          <w:color w:val="404040"/>
        </w:rPr>
        <w:t xml:space="preserve">, </w:t>
      </w:r>
      <w:r w:rsidRPr="004F5719">
        <w:rPr>
          <w:rFonts w:ascii="Arial" w:hAnsi="Arial" w:cs="Arial"/>
          <w:color w:val="404040"/>
        </w:rPr>
        <w:t>se observa la gestión adelantada para salvaguardar la integridad, confidencialidad y disponibilidad de la información financiera, no obstante lo anterior, es importante revisar los perfiles de los usuarios de SIIF Nación: Herrera Martinez Yenny marcela (2020-12-18) y Prieto Benavides Claudia Milena (2020-12-02), los cuales están próximos a expirar, con el fin de adelantar la gestión pertinente pa</w:t>
      </w:r>
      <w:r w:rsidR="004F5719" w:rsidRPr="004F5719">
        <w:rPr>
          <w:rFonts w:ascii="Arial" w:hAnsi="Arial" w:cs="Arial"/>
          <w:color w:val="404040"/>
        </w:rPr>
        <w:t>ra su renovación oportuna. A</w:t>
      </w:r>
      <w:r w:rsidRPr="004F5719">
        <w:rPr>
          <w:rFonts w:ascii="Arial" w:hAnsi="Arial" w:cs="Arial"/>
          <w:color w:val="404040"/>
        </w:rPr>
        <w:t xml:space="preserve">sí mismo, </w:t>
      </w:r>
      <w:r w:rsidR="004F5719" w:rsidRPr="004F5719">
        <w:rPr>
          <w:rFonts w:ascii="Arial" w:hAnsi="Arial" w:cs="Arial"/>
          <w:color w:val="404040"/>
        </w:rPr>
        <w:t xml:space="preserve">se debe inactivar el perfil de usuario </w:t>
      </w:r>
      <w:r w:rsidRPr="004F5719">
        <w:rPr>
          <w:rFonts w:ascii="Arial" w:hAnsi="Arial" w:cs="Arial"/>
          <w:color w:val="404040"/>
        </w:rPr>
        <w:t xml:space="preserve">de Siabato Lozano Nohora Constanza, la cual ya no labora en la Entidad. </w:t>
      </w:r>
    </w:p>
    <w:p w:rsidR="004F5719" w:rsidRDefault="004F5719" w:rsidP="004F5719">
      <w:pPr>
        <w:pStyle w:val="Prrafodelista"/>
        <w:autoSpaceDE w:val="0"/>
        <w:autoSpaceDN w:val="0"/>
        <w:adjustRightInd w:val="0"/>
        <w:spacing w:before="240" w:after="200" w:line="276" w:lineRule="auto"/>
        <w:jc w:val="both"/>
        <w:rPr>
          <w:rFonts w:ascii="Arial" w:hAnsi="Arial" w:cs="Arial"/>
          <w:color w:val="404040"/>
        </w:rPr>
      </w:pPr>
    </w:p>
    <w:p w:rsidR="002B2C2D" w:rsidRDefault="004F5719" w:rsidP="00356AB0">
      <w:pPr>
        <w:pStyle w:val="Prrafodelista"/>
        <w:numPr>
          <w:ilvl w:val="0"/>
          <w:numId w:val="45"/>
        </w:numPr>
        <w:autoSpaceDE w:val="0"/>
        <w:autoSpaceDN w:val="0"/>
        <w:adjustRightInd w:val="0"/>
        <w:jc w:val="both"/>
        <w:rPr>
          <w:rFonts w:ascii="Arial" w:hAnsi="Arial" w:cs="Arial"/>
          <w:color w:val="404040"/>
        </w:rPr>
      </w:pPr>
      <w:r w:rsidRPr="004F5719">
        <w:rPr>
          <w:rFonts w:ascii="Arial" w:hAnsi="Arial" w:cs="Arial"/>
          <w:color w:val="404040"/>
        </w:rPr>
        <w:t>Frente a la conciliación con las áreas, se deben realizar conciliaciones periódicas de intangibles entre las dependencias de Almacén y la Oficina de Tecnologías de la Información</w:t>
      </w:r>
      <w:r>
        <w:rPr>
          <w:rFonts w:ascii="Arial" w:hAnsi="Arial" w:cs="Arial"/>
          <w:color w:val="404040"/>
        </w:rPr>
        <w:t>,</w:t>
      </w:r>
      <w:r w:rsidRPr="004F5719">
        <w:rPr>
          <w:rFonts w:ascii="Arial" w:hAnsi="Arial" w:cs="Arial"/>
          <w:color w:val="404040"/>
        </w:rPr>
        <w:t xml:space="preserve"> como punto de control para detectar inconsistencias oportunamente </w:t>
      </w:r>
      <w:r>
        <w:rPr>
          <w:rFonts w:ascii="Arial" w:hAnsi="Arial" w:cs="Arial"/>
          <w:color w:val="404040"/>
        </w:rPr>
        <w:t xml:space="preserve">y reflejar la información real, en los estados financieros. Es necesario anotar que la conciliación entre las dos </w:t>
      </w:r>
      <w:r w:rsidR="00171DBA">
        <w:rPr>
          <w:rFonts w:ascii="Arial" w:hAnsi="Arial" w:cs="Arial"/>
          <w:color w:val="404040"/>
        </w:rPr>
        <w:t xml:space="preserve">(2) </w:t>
      </w:r>
      <w:r>
        <w:rPr>
          <w:rFonts w:ascii="Arial" w:hAnsi="Arial" w:cs="Arial"/>
          <w:color w:val="404040"/>
        </w:rPr>
        <w:t>dependencias</w:t>
      </w:r>
      <w:r w:rsidR="00612DEF">
        <w:rPr>
          <w:rFonts w:ascii="Arial" w:hAnsi="Arial" w:cs="Arial"/>
          <w:color w:val="404040"/>
        </w:rPr>
        <w:t>,</w:t>
      </w:r>
      <w:r>
        <w:rPr>
          <w:rFonts w:ascii="Arial" w:hAnsi="Arial" w:cs="Arial"/>
          <w:color w:val="404040"/>
        </w:rPr>
        <w:t xml:space="preserve"> se venía realizando el año pasado como acción de mejoramiento a un hallazgo dejado por la Contraloría General de la República</w:t>
      </w:r>
      <w:r w:rsidR="00612DEF">
        <w:rPr>
          <w:rFonts w:ascii="Arial" w:hAnsi="Arial" w:cs="Arial"/>
          <w:color w:val="404040"/>
        </w:rPr>
        <w:t xml:space="preserve"> en la auditoria financiera, pero esta actividad no se volvió a ejecutar en la presente vigencia.</w:t>
      </w:r>
    </w:p>
    <w:p w:rsidR="00612DEF" w:rsidRPr="00612DEF" w:rsidRDefault="00612DEF" w:rsidP="00612DEF">
      <w:pPr>
        <w:pStyle w:val="Prrafodelista"/>
        <w:rPr>
          <w:rFonts w:ascii="Arial" w:hAnsi="Arial" w:cs="Arial"/>
          <w:color w:val="404040"/>
        </w:rPr>
      </w:pPr>
    </w:p>
    <w:p w:rsidR="00612DEF" w:rsidRDefault="00C449D7" w:rsidP="00356AB0">
      <w:pPr>
        <w:pStyle w:val="Prrafodelista"/>
        <w:numPr>
          <w:ilvl w:val="0"/>
          <w:numId w:val="45"/>
        </w:numPr>
        <w:autoSpaceDE w:val="0"/>
        <w:autoSpaceDN w:val="0"/>
        <w:adjustRightInd w:val="0"/>
        <w:jc w:val="both"/>
        <w:rPr>
          <w:rFonts w:ascii="Arial" w:hAnsi="Arial" w:cs="Arial"/>
          <w:color w:val="404040"/>
        </w:rPr>
      </w:pPr>
      <w:r>
        <w:rPr>
          <w:rFonts w:ascii="Arial" w:hAnsi="Arial" w:cs="Arial"/>
          <w:color w:val="404040"/>
        </w:rPr>
        <w:t>Sobre el tema</w:t>
      </w:r>
      <w:r w:rsidR="00612DEF">
        <w:rPr>
          <w:rFonts w:ascii="Arial" w:hAnsi="Arial" w:cs="Arial"/>
          <w:color w:val="404040"/>
        </w:rPr>
        <w:t xml:space="preserve"> </w:t>
      </w:r>
      <w:r>
        <w:rPr>
          <w:rFonts w:ascii="Arial" w:hAnsi="Arial" w:cs="Arial"/>
          <w:color w:val="404040"/>
        </w:rPr>
        <w:t>de</w:t>
      </w:r>
      <w:r w:rsidR="00612DEF">
        <w:rPr>
          <w:rFonts w:ascii="Arial" w:hAnsi="Arial" w:cs="Arial"/>
          <w:color w:val="404040"/>
        </w:rPr>
        <w:t xml:space="preserve"> las incapacidades, es importante resaltar la labor realizada por el Grupo de Talento Humano durante la vigencia, para la depuración y cobro de las incapacidades, sin embargo, es necesario continuar </w:t>
      </w:r>
      <w:r>
        <w:rPr>
          <w:rFonts w:ascii="Arial" w:hAnsi="Arial" w:cs="Arial"/>
          <w:color w:val="404040"/>
        </w:rPr>
        <w:t>la gestión</w:t>
      </w:r>
      <w:r w:rsidR="00612DEF">
        <w:rPr>
          <w:rFonts w:ascii="Arial" w:hAnsi="Arial" w:cs="Arial"/>
          <w:color w:val="404040"/>
        </w:rPr>
        <w:t xml:space="preserve"> ante las diferentes instancias, con el propósito de </w:t>
      </w:r>
      <w:r>
        <w:rPr>
          <w:rFonts w:ascii="Arial" w:hAnsi="Arial" w:cs="Arial"/>
          <w:color w:val="404040"/>
        </w:rPr>
        <w:t>dar solución a los saldos antiguos y continuar la recuperación de las cuentas por cobrar.</w:t>
      </w:r>
    </w:p>
    <w:p w:rsidR="00C449D7" w:rsidRPr="00C449D7" w:rsidRDefault="00C449D7" w:rsidP="00C449D7">
      <w:pPr>
        <w:pStyle w:val="Prrafodelista"/>
        <w:rPr>
          <w:rFonts w:ascii="Arial" w:hAnsi="Arial" w:cs="Arial"/>
          <w:color w:val="404040"/>
        </w:rPr>
      </w:pPr>
    </w:p>
    <w:p w:rsidR="002B2C2D" w:rsidRPr="00907B20" w:rsidRDefault="00C449D7" w:rsidP="00356AB0">
      <w:pPr>
        <w:pStyle w:val="Prrafodelista"/>
        <w:numPr>
          <w:ilvl w:val="0"/>
          <w:numId w:val="45"/>
        </w:numPr>
        <w:autoSpaceDE w:val="0"/>
        <w:autoSpaceDN w:val="0"/>
        <w:adjustRightInd w:val="0"/>
        <w:jc w:val="both"/>
        <w:rPr>
          <w:rFonts w:ascii="Arial" w:hAnsi="Arial" w:cs="Arial"/>
          <w:color w:val="404040"/>
        </w:rPr>
      </w:pPr>
      <w:r w:rsidRPr="00907B20">
        <w:rPr>
          <w:rFonts w:ascii="Arial" w:hAnsi="Arial" w:cs="Arial"/>
          <w:color w:val="404040"/>
        </w:rPr>
        <w:t>Respecto a los planes de mejoramiento, es importante contactar a la Oficina Asesora de Planeación para solicitar el cierre de las acciones de mejora en el Sistema Integrado de Gestión – SGI, ya que estas se encuentran ejecutadas desde la vigencia pasa</w:t>
      </w:r>
      <w:r w:rsidR="00907B20" w:rsidRPr="00907B20">
        <w:rPr>
          <w:rFonts w:ascii="Arial" w:hAnsi="Arial" w:cs="Arial"/>
          <w:color w:val="404040"/>
        </w:rPr>
        <w:t>d</w:t>
      </w:r>
      <w:r w:rsidR="00171DBA">
        <w:rPr>
          <w:rFonts w:ascii="Arial" w:hAnsi="Arial" w:cs="Arial"/>
          <w:color w:val="404040"/>
        </w:rPr>
        <w:t>a.</w:t>
      </w:r>
    </w:p>
    <w:p w:rsidR="00171DBA" w:rsidRDefault="00171DBA" w:rsidP="008B23C9">
      <w:pPr>
        <w:autoSpaceDE w:val="0"/>
        <w:autoSpaceDN w:val="0"/>
        <w:adjustRightInd w:val="0"/>
        <w:jc w:val="both"/>
        <w:rPr>
          <w:rFonts w:ascii="Arial" w:hAnsi="Arial" w:cs="Arial"/>
          <w:color w:val="404040"/>
        </w:rPr>
      </w:pPr>
    </w:p>
    <w:p w:rsidR="00171DBA" w:rsidRDefault="00171DBA" w:rsidP="008B23C9">
      <w:pPr>
        <w:autoSpaceDE w:val="0"/>
        <w:autoSpaceDN w:val="0"/>
        <w:adjustRightInd w:val="0"/>
        <w:jc w:val="both"/>
        <w:rPr>
          <w:rFonts w:ascii="Arial" w:hAnsi="Arial" w:cs="Arial"/>
          <w:color w:val="404040"/>
        </w:rPr>
      </w:pPr>
    </w:p>
    <w:p w:rsidR="008B23C9" w:rsidRDefault="00907B20" w:rsidP="008B23C9">
      <w:pPr>
        <w:autoSpaceDE w:val="0"/>
        <w:autoSpaceDN w:val="0"/>
        <w:adjustRightInd w:val="0"/>
        <w:jc w:val="both"/>
        <w:rPr>
          <w:rFonts w:ascii="Arial" w:hAnsi="Arial" w:cs="Arial"/>
          <w:color w:val="404040"/>
        </w:rPr>
      </w:pPr>
      <w:bookmarkStart w:id="6" w:name="_Hlk57389487"/>
      <w:r>
        <w:rPr>
          <w:rFonts w:ascii="Arial" w:hAnsi="Arial" w:cs="Arial"/>
          <w:color w:val="404040"/>
        </w:rPr>
        <w:t>C</w:t>
      </w:r>
      <w:r w:rsidR="008B23C9">
        <w:rPr>
          <w:rFonts w:ascii="Arial" w:hAnsi="Arial" w:cs="Arial"/>
          <w:color w:val="404040"/>
        </w:rPr>
        <w:t>ordialmente,</w:t>
      </w:r>
    </w:p>
    <w:p w:rsidR="008B23C9" w:rsidRDefault="008B23C9" w:rsidP="008B23C9">
      <w:pPr>
        <w:autoSpaceDE w:val="0"/>
        <w:autoSpaceDN w:val="0"/>
        <w:adjustRightInd w:val="0"/>
        <w:jc w:val="both"/>
        <w:rPr>
          <w:rFonts w:ascii="Arial" w:hAnsi="Arial" w:cs="Arial"/>
          <w:color w:val="404040"/>
        </w:rPr>
      </w:pPr>
    </w:p>
    <w:p w:rsidR="008B23C9" w:rsidRDefault="008B23C9" w:rsidP="008B23C9">
      <w:pPr>
        <w:autoSpaceDE w:val="0"/>
        <w:autoSpaceDN w:val="0"/>
        <w:adjustRightInd w:val="0"/>
        <w:jc w:val="both"/>
        <w:rPr>
          <w:rFonts w:ascii="Arial" w:hAnsi="Arial" w:cs="Arial"/>
          <w:color w:val="404040"/>
        </w:rPr>
      </w:pPr>
    </w:p>
    <w:p w:rsidR="00171DBA" w:rsidRDefault="00171DBA" w:rsidP="008B23C9">
      <w:pPr>
        <w:autoSpaceDE w:val="0"/>
        <w:autoSpaceDN w:val="0"/>
        <w:adjustRightInd w:val="0"/>
        <w:jc w:val="both"/>
        <w:rPr>
          <w:rFonts w:ascii="Arial" w:hAnsi="Arial" w:cs="Arial"/>
          <w:color w:val="404040"/>
        </w:rPr>
      </w:pPr>
    </w:p>
    <w:p w:rsidR="008B23C9" w:rsidRPr="008B23C9" w:rsidRDefault="008B23C9" w:rsidP="008B23C9">
      <w:pPr>
        <w:autoSpaceDE w:val="0"/>
        <w:autoSpaceDN w:val="0"/>
        <w:adjustRightInd w:val="0"/>
        <w:jc w:val="both"/>
        <w:rPr>
          <w:rFonts w:ascii="Arial" w:hAnsi="Arial" w:cs="Arial"/>
          <w:b/>
          <w:color w:val="404040"/>
        </w:rPr>
      </w:pPr>
      <w:r w:rsidRPr="008B23C9">
        <w:rPr>
          <w:rFonts w:ascii="Arial" w:hAnsi="Arial" w:cs="Arial"/>
          <w:b/>
          <w:color w:val="404040"/>
        </w:rPr>
        <w:t>Luz Stella Patiño Jurado</w:t>
      </w:r>
    </w:p>
    <w:p w:rsidR="008B23C9" w:rsidRDefault="008B23C9" w:rsidP="008B23C9">
      <w:pPr>
        <w:autoSpaceDE w:val="0"/>
        <w:autoSpaceDN w:val="0"/>
        <w:adjustRightInd w:val="0"/>
        <w:jc w:val="both"/>
        <w:rPr>
          <w:rFonts w:ascii="Arial" w:hAnsi="Arial" w:cs="Arial"/>
          <w:color w:val="404040"/>
        </w:rPr>
      </w:pPr>
      <w:r>
        <w:rPr>
          <w:rFonts w:ascii="Arial" w:hAnsi="Arial" w:cs="Arial"/>
          <w:color w:val="404040"/>
        </w:rPr>
        <w:t>Jefe Oficina de Control Interno</w:t>
      </w:r>
    </w:p>
    <w:p w:rsidR="00907B20" w:rsidRPr="00907B20" w:rsidRDefault="00907B20" w:rsidP="008B23C9">
      <w:pPr>
        <w:autoSpaceDE w:val="0"/>
        <w:autoSpaceDN w:val="0"/>
        <w:adjustRightInd w:val="0"/>
        <w:jc w:val="both"/>
        <w:rPr>
          <w:rFonts w:asciiTheme="majorHAnsi" w:hAnsiTheme="majorHAnsi" w:cstheme="majorHAnsi"/>
          <w:color w:val="404040"/>
          <w:sz w:val="16"/>
          <w:szCs w:val="16"/>
        </w:rPr>
      </w:pPr>
      <w:r w:rsidRPr="00907B20">
        <w:rPr>
          <w:rFonts w:asciiTheme="majorHAnsi" w:hAnsiTheme="majorHAnsi" w:cstheme="majorHAnsi"/>
          <w:color w:val="404040"/>
          <w:sz w:val="16"/>
          <w:szCs w:val="16"/>
        </w:rPr>
        <w:t>Elaboró: Esneda Gamboa M. / Revisó: Luz Stella Patiño</w:t>
      </w:r>
      <w:r>
        <w:rPr>
          <w:rFonts w:asciiTheme="majorHAnsi" w:hAnsiTheme="majorHAnsi" w:cstheme="majorHAnsi"/>
          <w:color w:val="404040"/>
          <w:sz w:val="16"/>
          <w:szCs w:val="16"/>
        </w:rPr>
        <w:t xml:space="preserve"> J.</w:t>
      </w:r>
      <w:bookmarkEnd w:id="6"/>
    </w:p>
    <w:sectPr w:rsidR="00907B20" w:rsidRPr="00907B20" w:rsidSect="005963DC">
      <w:footerReference w:type="default" r:id="rId9"/>
      <w:headerReference w:type="first" r:id="rId10"/>
      <w:footerReference w:type="first" r:id="rId11"/>
      <w:pgSz w:w="12240" w:h="15840" w:code="123"/>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3C" w:rsidRDefault="00A3773C" w:rsidP="006805F6">
      <w:r>
        <w:separator/>
      </w:r>
    </w:p>
  </w:endnote>
  <w:endnote w:type="continuationSeparator" w:id="0">
    <w:p w:rsidR="00A3773C" w:rsidRDefault="00A3773C"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B0" w:rsidRPr="00634DEC" w:rsidRDefault="00356AB0"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356AB0" w:rsidRDefault="00356AB0"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Pr>
        <w:rFonts w:ascii="Arial" w:hAnsi="Arial" w:cs="Arial"/>
        <w:noProof/>
        <w:sz w:val="16"/>
        <w:szCs w:val="16"/>
      </w:rPr>
      <w:t>10</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B0" w:rsidRPr="0044207C" w:rsidRDefault="00356AB0" w:rsidP="00634DEC">
    <w:pPr>
      <w:pStyle w:val="Piedepgina"/>
      <w:rPr>
        <w:sz w:val="18"/>
        <w:szCs w:val="18"/>
      </w:rPr>
    </w:pPr>
  </w:p>
  <w:p w:rsidR="00356AB0" w:rsidRDefault="00356AB0" w:rsidP="00634DEC">
    <w:pPr>
      <w:pStyle w:val="Piedepgina"/>
    </w:pPr>
    <w:r>
      <w:rPr>
        <w:noProof/>
        <w:lang w:eastAsia="es-CO"/>
      </w:rPr>
      <w:drawing>
        <wp:anchor distT="0" distB="0" distL="114300" distR="114300" simplePos="0" relativeHeight="251660288" behindDoc="1" locked="0" layoutInCell="1" allowOverlap="1" wp14:anchorId="42370EB3" wp14:editId="553BCE41">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3C" w:rsidRDefault="00A3773C" w:rsidP="006805F6">
      <w:r>
        <w:separator/>
      </w:r>
    </w:p>
  </w:footnote>
  <w:footnote w:type="continuationSeparator" w:id="0">
    <w:p w:rsidR="00A3773C" w:rsidRDefault="00A3773C" w:rsidP="0068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AB0" w:rsidRDefault="00356AB0"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2274E102" wp14:editId="78E8D88C">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D3008"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17C8765C" wp14:editId="007178E0">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1C36C780" wp14:editId="7C902DB9">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08505"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06B"/>
    <w:multiLevelType w:val="hybridMultilevel"/>
    <w:tmpl w:val="0F0A3344"/>
    <w:lvl w:ilvl="0" w:tplc="2F96E948">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DE3699"/>
    <w:multiLevelType w:val="hybridMultilevel"/>
    <w:tmpl w:val="DF4C1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575F1F"/>
    <w:multiLevelType w:val="hybridMultilevel"/>
    <w:tmpl w:val="22101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BA3F82"/>
    <w:multiLevelType w:val="hybridMultilevel"/>
    <w:tmpl w:val="A6F69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8B1C3A"/>
    <w:multiLevelType w:val="hybridMultilevel"/>
    <w:tmpl w:val="5AC0D002"/>
    <w:lvl w:ilvl="0" w:tplc="11C03C0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2317AB"/>
    <w:multiLevelType w:val="hybridMultilevel"/>
    <w:tmpl w:val="30660C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B13390"/>
    <w:multiLevelType w:val="hybridMultilevel"/>
    <w:tmpl w:val="B2C26030"/>
    <w:lvl w:ilvl="0" w:tplc="B3926890">
      <w:start w:val="1"/>
      <w:numFmt w:val="low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15:restartNumberingAfterBreak="0">
    <w:nsid w:val="27AA6204"/>
    <w:multiLevelType w:val="multilevel"/>
    <w:tmpl w:val="070CD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767C4E"/>
    <w:multiLevelType w:val="hybridMultilevel"/>
    <w:tmpl w:val="5DA01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8C65DE"/>
    <w:multiLevelType w:val="hybridMultilevel"/>
    <w:tmpl w:val="38E40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1C69A0"/>
    <w:multiLevelType w:val="hybridMultilevel"/>
    <w:tmpl w:val="D3BA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426221"/>
    <w:multiLevelType w:val="hybridMultilevel"/>
    <w:tmpl w:val="ED8231F8"/>
    <w:lvl w:ilvl="0" w:tplc="7ED8A734">
      <w:start w:val="1"/>
      <w:numFmt w:val="decimal"/>
      <w:lvlText w:val="%1."/>
      <w:lvlJc w:val="left"/>
      <w:pPr>
        <w:ind w:left="720" w:hanging="36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9C6379"/>
    <w:multiLevelType w:val="hybridMultilevel"/>
    <w:tmpl w:val="C442A3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1A4015"/>
    <w:multiLevelType w:val="hybridMultilevel"/>
    <w:tmpl w:val="9EB29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4E664A"/>
    <w:multiLevelType w:val="hybridMultilevel"/>
    <w:tmpl w:val="1F020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540924"/>
    <w:multiLevelType w:val="hybridMultilevel"/>
    <w:tmpl w:val="7C1CC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196FC7"/>
    <w:multiLevelType w:val="hybridMultilevel"/>
    <w:tmpl w:val="ECA2C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6846DE"/>
    <w:multiLevelType w:val="hybridMultilevel"/>
    <w:tmpl w:val="4FE6B4A6"/>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99236A"/>
    <w:multiLevelType w:val="hybridMultilevel"/>
    <w:tmpl w:val="7E88B7B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1163466"/>
    <w:multiLevelType w:val="hybridMultilevel"/>
    <w:tmpl w:val="B0761D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E2D57BC"/>
    <w:multiLevelType w:val="hybridMultilevel"/>
    <w:tmpl w:val="D6AAE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5103FF"/>
    <w:multiLevelType w:val="hybridMultilevel"/>
    <w:tmpl w:val="0A60555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1A1192"/>
    <w:multiLevelType w:val="hybridMultilevel"/>
    <w:tmpl w:val="4ADC527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10576D"/>
    <w:multiLevelType w:val="hybridMultilevel"/>
    <w:tmpl w:val="B3821C7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550A364A"/>
    <w:multiLevelType w:val="hybridMultilevel"/>
    <w:tmpl w:val="B7D850DE"/>
    <w:lvl w:ilvl="0" w:tplc="BE3C8D3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447915"/>
    <w:multiLevelType w:val="hybridMultilevel"/>
    <w:tmpl w:val="3306BBDC"/>
    <w:lvl w:ilvl="0" w:tplc="240A0001">
      <w:start w:val="1"/>
      <w:numFmt w:val="bullet"/>
      <w:lvlText w:val=""/>
      <w:lvlJc w:val="left"/>
      <w:pPr>
        <w:ind w:left="513" w:hanging="360"/>
      </w:pPr>
      <w:rPr>
        <w:rFonts w:ascii="Symbol" w:hAnsi="Symbol" w:hint="default"/>
      </w:rPr>
    </w:lvl>
    <w:lvl w:ilvl="1" w:tplc="240A0003" w:tentative="1">
      <w:start w:val="1"/>
      <w:numFmt w:val="bullet"/>
      <w:lvlText w:val="o"/>
      <w:lvlJc w:val="left"/>
      <w:pPr>
        <w:ind w:left="1233" w:hanging="360"/>
      </w:pPr>
      <w:rPr>
        <w:rFonts w:ascii="Courier New" w:hAnsi="Courier New" w:cs="Courier New" w:hint="default"/>
      </w:rPr>
    </w:lvl>
    <w:lvl w:ilvl="2" w:tplc="240A0005" w:tentative="1">
      <w:start w:val="1"/>
      <w:numFmt w:val="bullet"/>
      <w:lvlText w:val=""/>
      <w:lvlJc w:val="left"/>
      <w:pPr>
        <w:ind w:left="1953" w:hanging="360"/>
      </w:pPr>
      <w:rPr>
        <w:rFonts w:ascii="Wingdings" w:hAnsi="Wingdings" w:hint="default"/>
      </w:rPr>
    </w:lvl>
    <w:lvl w:ilvl="3" w:tplc="240A0001" w:tentative="1">
      <w:start w:val="1"/>
      <w:numFmt w:val="bullet"/>
      <w:lvlText w:val=""/>
      <w:lvlJc w:val="left"/>
      <w:pPr>
        <w:ind w:left="2673" w:hanging="360"/>
      </w:pPr>
      <w:rPr>
        <w:rFonts w:ascii="Symbol" w:hAnsi="Symbol" w:hint="default"/>
      </w:rPr>
    </w:lvl>
    <w:lvl w:ilvl="4" w:tplc="240A0003" w:tentative="1">
      <w:start w:val="1"/>
      <w:numFmt w:val="bullet"/>
      <w:lvlText w:val="o"/>
      <w:lvlJc w:val="left"/>
      <w:pPr>
        <w:ind w:left="3393" w:hanging="360"/>
      </w:pPr>
      <w:rPr>
        <w:rFonts w:ascii="Courier New" w:hAnsi="Courier New" w:cs="Courier New" w:hint="default"/>
      </w:rPr>
    </w:lvl>
    <w:lvl w:ilvl="5" w:tplc="240A0005" w:tentative="1">
      <w:start w:val="1"/>
      <w:numFmt w:val="bullet"/>
      <w:lvlText w:val=""/>
      <w:lvlJc w:val="left"/>
      <w:pPr>
        <w:ind w:left="4113" w:hanging="360"/>
      </w:pPr>
      <w:rPr>
        <w:rFonts w:ascii="Wingdings" w:hAnsi="Wingdings" w:hint="default"/>
      </w:rPr>
    </w:lvl>
    <w:lvl w:ilvl="6" w:tplc="240A0001" w:tentative="1">
      <w:start w:val="1"/>
      <w:numFmt w:val="bullet"/>
      <w:lvlText w:val=""/>
      <w:lvlJc w:val="left"/>
      <w:pPr>
        <w:ind w:left="4833" w:hanging="360"/>
      </w:pPr>
      <w:rPr>
        <w:rFonts w:ascii="Symbol" w:hAnsi="Symbol" w:hint="default"/>
      </w:rPr>
    </w:lvl>
    <w:lvl w:ilvl="7" w:tplc="240A0003" w:tentative="1">
      <w:start w:val="1"/>
      <w:numFmt w:val="bullet"/>
      <w:lvlText w:val="o"/>
      <w:lvlJc w:val="left"/>
      <w:pPr>
        <w:ind w:left="5553" w:hanging="360"/>
      </w:pPr>
      <w:rPr>
        <w:rFonts w:ascii="Courier New" w:hAnsi="Courier New" w:cs="Courier New" w:hint="default"/>
      </w:rPr>
    </w:lvl>
    <w:lvl w:ilvl="8" w:tplc="240A0005" w:tentative="1">
      <w:start w:val="1"/>
      <w:numFmt w:val="bullet"/>
      <w:lvlText w:val=""/>
      <w:lvlJc w:val="left"/>
      <w:pPr>
        <w:ind w:left="6273" w:hanging="360"/>
      </w:pPr>
      <w:rPr>
        <w:rFonts w:ascii="Wingdings" w:hAnsi="Wingdings" w:hint="default"/>
      </w:rPr>
    </w:lvl>
  </w:abstractNum>
  <w:abstractNum w:abstractNumId="31" w15:restartNumberingAfterBreak="0">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DA71893"/>
    <w:multiLevelType w:val="hybridMultilevel"/>
    <w:tmpl w:val="F008EB44"/>
    <w:lvl w:ilvl="0" w:tplc="43300F22">
      <w:start w:val="1"/>
      <w:numFmt w:val="decimal"/>
      <w:lvlText w:val="%1."/>
      <w:lvlJc w:val="left"/>
      <w:pPr>
        <w:ind w:left="720" w:hanging="36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B97F14"/>
    <w:multiLevelType w:val="hybridMultilevel"/>
    <w:tmpl w:val="3D3EE3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8E6497"/>
    <w:multiLevelType w:val="hybridMultilevel"/>
    <w:tmpl w:val="A260E9EC"/>
    <w:lvl w:ilvl="0" w:tplc="BE3C8D3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365719D"/>
    <w:multiLevelType w:val="hybridMultilevel"/>
    <w:tmpl w:val="CB343890"/>
    <w:lvl w:ilvl="0" w:tplc="E33648A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4735AB"/>
    <w:multiLevelType w:val="hybridMultilevel"/>
    <w:tmpl w:val="38E40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0EA18DB"/>
    <w:multiLevelType w:val="hybridMultilevel"/>
    <w:tmpl w:val="04FA5DCA"/>
    <w:lvl w:ilvl="0" w:tplc="62E43B72">
      <w:start w:val="1"/>
      <w:numFmt w:val="lowerLetter"/>
      <w:lvlText w:val="%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2E533E"/>
    <w:multiLevelType w:val="hybridMultilevel"/>
    <w:tmpl w:val="49E69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4455712"/>
    <w:multiLevelType w:val="hybridMultilevel"/>
    <w:tmpl w:val="436AA96C"/>
    <w:lvl w:ilvl="0" w:tplc="2FB0D1D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85D68B8"/>
    <w:multiLevelType w:val="hybridMultilevel"/>
    <w:tmpl w:val="747C57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AB713C9"/>
    <w:multiLevelType w:val="hybridMultilevel"/>
    <w:tmpl w:val="3FE47068"/>
    <w:lvl w:ilvl="0" w:tplc="9DE000F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690C2C"/>
    <w:multiLevelType w:val="hybridMultilevel"/>
    <w:tmpl w:val="4BFEA33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D520B25"/>
    <w:multiLevelType w:val="multilevel"/>
    <w:tmpl w:val="88D255C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8"/>
  </w:num>
  <w:num w:numId="2">
    <w:abstractNumId w:val="10"/>
  </w:num>
  <w:num w:numId="3">
    <w:abstractNumId w:val="8"/>
  </w:num>
  <w:num w:numId="4">
    <w:abstractNumId w:val="9"/>
  </w:num>
  <w:num w:numId="5">
    <w:abstractNumId w:val="41"/>
  </w:num>
  <w:num w:numId="6">
    <w:abstractNumId w:val="31"/>
  </w:num>
  <w:num w:numId="7">
    <w:abstractNumId w:val="18"/>
  </w:num>
  <w:num w:numId="8">
    <w:abstractNumId w:val="36"/>
  </w:num>
  <w:num w:numId="9">
    <w:abstractNumId w:val="7"/>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3"/>
  </w:num>
  <w:num w:numId="13">
    <w:abstractNumId w:val="17"/>
  </w:num>
  <w:num w:numId="14">
    <w:abstractNumId w:val="2"/>
  </w:num>
  <w:num w:numId="15">
    <w:abstractNumId w:val="45"/>
  </w:num>
  <w:num w:numId="16">
    <w:abstractNumId w:val="1"/>
  </w:num>
  <w:num w:numId="17">
    <w:abstractNumId w:val="38"/>
  </w:num>
  <w:num w:numId="18">
    <w:abstractNumId w:val="4"/>
  </w:num>
  <w:num w:numId="19">
    <w:abstractNumId w:val="34"/>
  </w:num>
  <w:num w:numId="20">
    <w:abstractNumId w:val="3"/>
  </w:num>
  <w:num w:numId="21">
    <w:abstractNumId w:val="43"/>
  </w:num>
  <w:num w:numId="22">
    <w:abstractNumId w:val="39"/>
  </w:num>
  <w:num w:numId="23">
    <w:abstractNumId w:val="25"/>
  </w:num>
  <w:num w:numId="24">
    <w:abstractNumId w:val="44"/>
  </w:num>
  <w:num w:numId="25">
    <w:abstractNumId w:val="6"/>
  </w:num>
  <w:num w:numId="26">
    <w:abstractNumId w:val="21"/>
  </w:num>
  <w:num w:numId="27">
    <w:abstractNumId w:val="27"/>
  </w:num>
  <w:num w:numId="28">
    <w:abstractNumId w:val="0"/>
  </w:num>
  <w:num w:numId="29">
    <w:abstractNumId w:val="30"/>
  </w:num>
  <w:num w:numId="30">
    <w:abstractNumId w:val="24"/>
  </w:num>
  <w:num w:numId="31">
    <w:abstractNumId w:val="29"/>
  </w:num>
  <w:num w:numId="32">
    <w:abstractNumId w:val="19"/>
  </w:num>
  <w:num w:numId="33">
    <w:abstractNumId w:val="26"/>
  </w:num>
  <w:num w:numId="34">
    <w:abstractNumId w:val="42"/>
  </w:num>
  <w:num w:numId="35">
    <w:abstractNumId w:val="22"/>
  </w:num>
  <w:num w:numId="36">
    <w:abstractNumId w:val="33"/>
  </w:num>
  <w:num w:numId="37">
    <w:abstractNumId w:val="5"/>
  </w:num>
  <w:num w:numId="38">
    <w:abstractNumId w:val="11"/>
  </w:num>
  <w:num w:numId="39">
    <w:abstractNumId w:val="15"/>
  </w:num>
  <w:num w:numId="40">
    <w:abstractNumId w:val="35"/>
  </w:num>
  <w:num w:numId="41">
    <w:abstractNumId w:val="40"/>
  </w:num>
  <w:num w:numId="42">
    <w:abstractNumId w:val="32"/>
  </w:num>
  <w:num w:numId="43">
    <w:abstractNumId w:val="14"/>
  </w:num>
  <w:num w:numId="44">
    <w:abstractNumId w:val="16"/>
  </w:num>
  <w:num w:numId="45">
    <w:abstractNumId w:val="3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F6"/>
    <w:rsid w:val="00001EDF"/>
    <w:rsid w:val="00003548"/>
    <w:rsid w:val="00003867"/>
    <w:rsid w:val="00004A4B"/>
    <w:rsid w:val="00007CF9"/>
    <w:rsid w:val="00012583"/>
    <w:rsid w:val="000137FC"/>
    <w:rsid w:val="00023A81"/>
    <w:rsid w:val="00033CC0"/>
    <w:rsid w:val="00035B82"/>
    <w:rsid w:val="000360A0"/>
    <w:rsid w:val="0003662F"/>
    <w:rsid w:val="00036CF6"/>
    <w:rsid w:val="0004114B"/>
    <w:rsid w:val="00041D4A"/>
    <w:rsid w:val="00042446"/>
    <w:rsid w:val="00042659"/>
    <w:rsid w:val="000437DE"/>
    <w:rsid w:val="00043B78"/>
    <w:rsid w:val="000472BC"/>
    <w:rsid w:val="000510E4"/>
    <w:rsid w:val="000533F1"/>
    <w:rsid w:val="000568FC"/>
    <w:rsid w:val="00062E1B"/>
    <w:rsid w:val="0007197A"/>
    <w:rsid w:val="00074032"/>
    <w:rsid w:val="00075162"/>
    <w:rsid w:val="00076755"/>
    <w:rsid w:val="00077C88"/>
    <w:rsid w:val="00081862"/>
    <w:rsid w:val="00081F77"/>
    <w:rsid w:val="0008283E"/>
    <w:rsid w:val="0008387D"/>
    <w:rsid w:val="00085509"/>
    <w:rsid w:val="000865BC"/>
    <w:rsid w:val="000873E4"/>
    <w:rsid w:val="00093654"/>
    <w:rsid w:val="00094F38"/>
    <w:rsid w:val="000A3280"/>
    <w:rsid w:val="000A5F49"/>
    <w:rsid w:val="000A75FB"/>
    <w:rsid w:val="000B19D2"/>
    <w:rsid w:val="000B6695"/>
    <w:rsid w:val="000B783B"/>
    <w:rsid w:val="000B7A56"/>
    <w:rsid w:val="000B7D61"/>
    <w:rsid w:val="000B7EB8"/>
    <w:rsid w:val="000C0F37"/>
    <w:rsid w:val="000C2009"/>
    <w:rsid w:val="000C3229"/>
    <w:rsid w:val="000C488D"/>
    <w:rsid w:val="000C7349"/>
    <w:rsid w:val="000C7671"/>
    <w:rsid w:val="000D1349"/>
    <w:rsid w:val="000D1A31"/>
    <w:rsid w:val="000D229C"/>
    <w:rsid w:val="000D2794"/>
    <w:rsid w:val="000D4DAB"/>
    <w:rsid w:val="000D6755"/>
    <w:rsid w:val="000E0DA9"/>
    <w:rsid w:val="000E3734"/>
    <w:rsid w:val="000E5E05"/>
    <w:rsid w:val="000E6590"/>
    <w:rsid w:val="000F293D"/>
    <w:rsid w:val="000F685B"/>
    <w:rsid w:val="000F72DB"/>
    <w:rsid w:val="00100641"/>
    <w:rsid w:val="001052F9"/>
    <w:rsid w:val="00105B96"/>
    <w:rsid w:val="001078C1"/>
    <w:rsid w:val="001119AA"/>
    <w:rsid w:val="00111EDC"/>
    <w:rsid w:val="0011221B"/>
    <w:rsid w:val="00114EF1"/>
    <w:rsid w:val="00115209"/>
    <w:rsid w:val="0012118B"/>
    <w:rsid w:val="00121B63"/>
    <w:rsid w:val="0012449E"/>
    <w:rsid w:val="001255D0"/>
    <w:rsid w:val="00127CEE"/>
    <w:rsid w:val="00131B7B"/>
    <w:rsid w:val="00135A28"/>
    <w:rsid w:val="0013726E"/>
    <w:rsid w:val="0014064C"/>
    <w:rsid w:val="00140E28"/>
    <w:rsid w:val="001508E5"/>
    <w:rsid w:val="001557A3"/>
    <w:rsid w:val="0015719C"/>
    <w:rsid w:val="00162468"/>
    <w:rsid w:val="001626A3"/>
    <w:rsid w:val="0016287F"/>
    <w:rsid w:val="0016402A"/>
    <w:rsid w:val="00164870"/>
    <w:rsid w:val="00171655"/>
    <w:rsid w:val="00171DBA"/>
    <w:rsid w:val="00172648"/>
    <w:rsid w:val="00181EFC"/>
    <w:rsid w:val="00182314"/>
    <w:rsid w:val="00185684"/>
    <w:rsid w:val="001858C2"/>
    <w:rsid w:val="0018699C"/>
    <w:rsid w:val="00186F03"/>
    <w:rsid w:val="00193E85"/>
    <w:rsid w:val="001950BF"/>
    <w:rsid w:val="001A075F"/>
    <w:rsid w:val="001A0A6B"/>
    <w:rsid w:val="001A164F"/>
    <w:rsid w:val="001A18DD"/>
    <w:rsid w:val="001A70E7"/>
    <w:rsid w:val="001A7232"/>
    <w:rsid w:val="001B3902"/>
    <w:rsid w:val="001B6E51"/>
    <w:rsid w:val="001C20B5"/>
    <w:rsid w:val="001C5BCF"/>
    <w:rsid w:val="001C7E55"/>
    <w:rsid w:val="001D0340"/>
    <w:rsid w:val="001E4FE6"/>
    <w:rsid w:val="001E5BA0"/>
    <w:rsid w:val="001E6117"/>
    <w:rsid w:val="001F1D83"/>
    <w:rsid w:val="001F2D78"/>
    <w:rsid w:val="001F3F12"/>
    <w:rsid w:val="001F4A67"/>
    <w:rsid w:val="001F6919"/>
    <w:rsid w:val="001F7BFF"/>
    <w:rsid w:val="00201389"/>
    <w:rsid w:val="002135BD"/>
    <w:rsid w:val="00217ACD"/>
    <w:rsid w:val="00217EAC"/>
    <w:rsid w:val="00221527"/>
    <w:rsid w:val="00230ABE"/>
    <w:rsid w:val="00233F0F"/>
    <w:rsid w:val="00235FF8"/>
    <w:rsid w:val="00246222"/>
    <w:rsid w:val="00253C2D"/>
    <w:rsid w:val="002605FE"/>
    <w:rsid w:val="00262CE5"/>
    <w:rsid w:val="00265809"/>
    <w:rsid w:val="0026664C"/>
    <w:rsid w:val="00266D75"/>
    <w:rsid w:val="0026724C"/>
    <w:rsid w:val="002709AB"/>
    <w:rsid w:val="002723C8"/>
    <w:rsid w:val="0027257F"/>
    <w:rsid w:val="00272718"/>
    <w:rsid w:val="002739B7"/>
    <w:rsid w:val="00275475"/>
    <w:rsid w:val="00277018"/>
    <w:rsid w:val="002848C7"/>
    <w:rsid w:val="002861EC"/>
    <w:rsid w:val="0028673D"/>
    <w:rsid w:val="002A173F"/>
    <w:rsid w:val="002A5FCB"/>
    <w:rsid w:val="002B1A44"/>
    <w:rsid w:val="002B2C2D"/>
    <w:rsid w:val="002B2C4A"/>
    <w:rsid w:val="002B3A29"/>
    <w:rsid w:val="002B4701"/>
    <w:rsid w:val="002B5FE6"/>
    <w:rsid w:val="002B76AA"/>
    <w:rsid w:val="002C314D"/>
    <w:rsid w:val="002C398F"/>
    <w:rsid w:val="002D36A2"/>
    <w:rsid w:val="002D3DB4"/>
    <w:rsid w:val="002D5E48"/>
    <w:rsid w:val="002D7B81"/>
    <w:rsid w:val="002E0034"/>
    <w:rsid w:val="002E0A72"/>
    <w:rsid w:val="002E2F6A"/>
    <w:rsid w:val="002E2FB9"/>
    <w:rsid w:val="002E61EB"/>
    <w:rsid w:val="002E6581"/>
    <w:rsid w:val="002F1ABC"/>
    <w:rsid w:val="002F3F35"/>
    <w:rsid w:val="002F6FF8"/>
    <w:rsid w:val="003073B6"/>
    <w:rsid w:val="00307A32"/>
    <w:rsid w:val="003114CE"/>
    <w:rsid w:val="00316929"/>
    <w:rsid w:val="003209B5"/>
    <w:rsid w:val="00323FF7"/>
    <w:rsid w:val="00326E33"/>
    <w:rsid w:val="00327302"/>
    <w:rsid w:val="003303AC"/>
    <w:rsid w:val="00331500"/>
    <w:rsid w:val="00332757"/>
    <w:rsid w:val="0033703E"/>
    <w:rsid w:val="00342398"/>
    <w:rsid w:val="00350054"/>
    <w:rsid w:val="00352696"/>
    <w:rsid w:val="00352B76"/>
    <w:rsid w:val="0035497B"/>
    <w:rsid w:val="0035681F"/>
    <w:rsid w:val="00356AB0"/>
    <w:rsid w:val="00361735"/>
    <w:rsid w:val="00361DB0"/>
    <w:rsid w:val="00362E5E"/>
    <w:rsid w:val="00362E87"/>
    <w:rsid w:val="00363EE0"/>
    <w:rsid w:val="003761BD"/>
    <w:rsid w:val="003773DA"/>
    <w:rsid w:val="003805A5"/>
    <w:rsid w:val="00380A29"/>
    <w:rsid w:val="00384E8C"/>
    <w:rsid w:val="00386D31"/>
    <w:rsid w:val="00393252"/>
    <w:rsid w:val="00393D3B"/>
    <w:rsid w:val="00396A1B"/>
    <w:rsid w:val="003A086E"/>
    <w:rsid w:val="003A0983"/>
    <w:rsid w:val="003A1FA3"/>
    <w:rsid w:val="003A27E9"/>
    <w:rsid w:val="003A2FDB"/>
    <w:rsid w:val="003A3E14"/>
    <w:rsid w:val="003A41DD"/>
    <w:rsid w:val="003B3C23"/>
    <w:rsid w:val="003B3D68"/>
    <w:rsid w:val="003B472F"/>
    <w:rsid w:val="003B5001"/>
    <w:rsid w:val="003B7C4F"/>
    <w:rsid w:val="003C0918"/>
    <w:rsid w:val="003C23A5"/>
    <w:rsid w:val="003C25BF"/>
    <w:rsid w:val="003C2B09"/>
    <w:rsid w:val="003C7B72"/>
    <w:rsid w:val="003D4FBB"/>
    <w:rsid w:val="003D70F8"/>
    <w:rsid w:val="003E0DF2"/>
    <w:rsid w:val="003E1EDD"/>
    <w:rsid w:val="003E3820"/>
    <w:rsid w:val="003E6665"/>
    <w:rsid w:val="0040018B"/>
    <w:rsid w:val="00403116"/>
    <w:rsid w:val="00407354"/>
    <w:rsid w:val="00407FF8"/>
    <w:rsid w:val="004102D5"/>
    <w:rsid w:val="0041074C"/>
    <w:rsid w:val="004178AE"/>
    <w:rsid w:val="00420E34"/>
    <w:rsid w:val="00422938"/>
    <w:rsid w:val="00424C52"/>
    <w:rsid w:val="00430C56"/>
    <w:rsid w:val="004348C0"/>
    <w:rsid w:val="004359E7"/>
    <w:rsid w:val="00436EBC"/>
    <w:rsid w:val="00440FD1"/>
    <w:rsid w:val="0044182F"/>
    <w:rsid w:val="00442A67"/>
    <w:rsid w:val="00445309"/>
    <w:rsid w:val="00446520"/>
    <w:rsid w:val="00451C03"/>
    <w:rsid w:val="00454D4E"/>
    <w:rsid w:val="00456302"/>
    <w:rsid w:val="00456438"/>
    <w:rsid w:val="004576DD"/>
    <w:rsid w:val="004635FF"/>
    <w:rsid w:val="00463EE0"/>
    <w:rsid w:val="00466E18"/>
    <w:rsid w:val="00472302"/>
    <w:rsid w:val="00487FFE"/>
    <w:rsid w:val="00490EBE"/>
    <w:rsid w:val="004957FD"/>
    <w:rsid w:val="0049668B"/>
    <w:rsid w:val="004A61B4"/>
    <w:rsid w:val="004A73CF"/>
    <w:rsid w:val="004B1451"/>
    <w:rsid w:val="004B3A92"/>
    <w:rsid w:val="004B424B"/>
    <w:rsid w:val="004B52CD"/>
    <w:rsid w:val="004B7461"/>
    <w:rsid w:val="004C040F"/>
    <w:rsid w:val="004C0A40"/>
    <w:rsid w:val="004C298A"/>
    <w:rsid w:val="004C313F"/>
    <w:rsid w:val="004C78DD"/>
    <w:rsid w:val="004C7F90"/>
    <w:rsid w:val="004D0AE3"/>
    <w:rsid w:val="004D0E9B"/>
    <w:rsid w:val="004D1B71"/>
    <w:rsid w:val="004D55BC"/>
    <w:rsid w:val="004D5BC8"/>
    <w:rsid w:val="004E2687"/>
    <w:rsid w:val="004E2BA1"/>
    <w:rsid w:val="004E2C48"/>
    <w:rsid w:val="004E3426"/>
    <w:rsid w:val="004E50C6"/>
    <w:rsid w:val="004E699B"/>
    <w:rsid w:val="004E774E"/>
    <w:rsid w:val="004F05DC"/>
    <w:rsid w:val="004F1398"/>
    <w:rsid w:val="004F2A72"/>
    <w:rsid w:val="004F50BD"/>
    <w:rsid w:val="004F5719"/>
    <w:rsid w:val="004F5CD1"/>
    <w:rsid w:val="004F6A9F"/>
    <w:rsid w:val="00500B71"/>
    <w:rsid w:val="00503644"/>
    <w:rsid w:val="00503673"/>
    <w:rsid w:val="0050408D"/>
    <w:rsid w:val="00504874"/>
    <w:rsid w:val="005056E7"/>
    <w:rsid w:val="00511329"/>
    <w:rsid w:val="00511766"/>
    <w:rsid w:val="0051332B"/>
    <w:rsid w:val="005138EC"/>
    <w:rsid w:val="005201E8"/>
    <w:rsid w:val="00521754"/>
    <w:rsid w:val="005264D6"/>
    <w:rsid w:val="005274A1"/>
    <w:rsid w:val="005314BB"/>
    <w:rsid w:val="0053329D"/>
    <w:rsid w:val="005440B0"/>
    <w:rsid w:val="00544B96"/>
    <w:rsid w:val="00546EC0"/>
    <w:rsid w:val="00547E20"/>
    <w:rsid w:val="00552F42"/>
    <w:rsid w:val="005537E0"/>
    <w:rsid w:val="00554BD9"/>
    <w:rsid w:val="00561697"/>
    <w:rsid w:val="00561818"/>
    <w:rsid w:val="0056664F"/>
    <w:rsid w:val="00575401"/>
    <w:rsid w:val="00575F69"/>
    <w:rsid w:val="005761F9"/>
    <w:rsid w:val="00576567"/>
    <w:rsid w:val="00576C22"/>
    <w:rsid w:val="0058187A"/>
    <w:rsid w:val="005854AE"/>
    <w:rsid w:val="00585907"/>
    <w:rsid w:val="00586512"/>
    <w:rsid w:val="00586FD8"/>
    <w:rsid w:val="005949F8"/>
    <w:rsid w:val="005963DC"/>
    <w:rsid w:val="00597966"/>
    <w:rsid w:val="005A088C"/>
    <w:rsid w:val="005A2626"/>
    <w:rsid w:val="005A4032"/>
    <w:rsid w:val="005A4DCB"/>
    <w:rsid w:val="005B5AC7"/>
    <w:rsid w:val="005C117C"/>
    <w:rsid w:val="005C63F3"/>
    <w:rsid w:val="005C77F5"/>
    <w:rsid w:val="005D0AFE"/>
    <w:rsid w:val="005D3C48"/>
    <w:rsid w:val="005D61E9"/>
    <w:rsid w:val="005E03A8"/>
    <w:rsid w:val="005E03F9"/>
    <w:rsid w:val="005E451A"/>
    <w:rsid w:val="005E53F2"/>
    <w:rsid w:val="005E6814"/>
    <w:rsid w:val="005F3544"/>
    <w:rsid w:val="005F5126"/>
    <w:rsid w:val="0061055D"/>
    <w:rsid w:val="00610C2D"/>
    <w:rsid w:val="00612DEF"/>
    <w:rsid w:val="006173A5"/>
    <w:rsid w:val="006238FB"/>
    <w:rsid w:val="00624363"/>
    <w:rsid w:val="006245E2"/>
    <w:rsid w:val="00624E62"/>
    <w:rsid w:val="006253FE"/>
    <w:rsid w:val="0063029F"/>
    <w:rsid w:val="00634DEC"/>
    <w:rsid w:val="00637302"/>
    <w:rsid w:val="00641366"/>
    <w:rsid w:val="00642B70"/>
    <w:rsid w:val="00643009"/>
    <w:rsid w:val="00647BB7"/>
    <w:rsid w:val="00647BB9"/>
    <w:rsid w:val="0065326C"/>
    <w:rsid w:val="00653364"/>
    <w:rsid w:val="00655D39"/>
    <w:rsid w:val="00655FE0"/>
    <w:rsid w:val="00662CDA"/>
    <w:rsid w:val="00663CBF"/>
    <w:rsid w:val="006673EA"/>
    <w:rsid w:val="00667857"/>
    <w:rsid w:val="006749C7"/>
    <w:rsid w:val="00674A71"/>
    <w:rsid w:val="00675705"/>
    <w:rsid w:val="00676C07"/>
    <w:rsid w:val="006805F6"/>
    <w:rsid w:val="00682F25"/>
    <w:rsid w:val="006918CD"/>
    <w:rsid w:val="00693DD9"/>
    <w:rsid w:val="00695C11"/>
    <w:rsid w:val="006A0F75"/>
    <w:rsid w:val="006A44A4"/>
    <w:rsid w:val="006A7928"/>
    <w:rsid w:val="006B3E95"/>
    <w:rsid w:val="006B675C"/>
    <w:rsid w:val="006B7DE8"/>
    <w:rsid w:val="006C5E70"/>
    <w:rsid w:val="006C661D"/>
    <w:rsid w:val="006C6D45"/>
    <w:rsid w:val="006D2CA5"/>
    <w:rsid w:val="006D6B4E"/>
    <w:rsid w:val="006E15F4"/>
    <w:rsid w:val="006E1EB0"/>
    <w:rsid w:val="006E2D85"/>
    <w:rsid w:val="006E3933"/>
    <w:rsid w:val="006E5683"/>
    <w:rsid w:val="006E62E1"/>
    <w:rsid w:val="006E67CF"/>
    <w:rsid w:val="006F2E4E"/>
    <w:rsid w:val="006F412C"/>
    <w:rsid w:val="006F5A04"/>
    <w:rsid w:val="00700888"/>
    <w:rsid w:val="00703C06"/>
    <w:rsid w:val="00703D74"/>
    <w:rsid w:val="00710E6C"/>
    <w:rsid w:val="00711094"/>
    <w:rsid w:val="007119E7"/>
    <w:rsid w:val="007156C2"/>
    <w:rsid w:val="007172D4"/>
    <w:rsid w:val="007232E2"/>
    <w:rsid w:val="00725B41"/>
    <w:rsid w:val="00726B4B"/>
    <w:rsid w:val="007306FE"/>
    <w:rsid w:val="0073378D"/>
    <w:rsid w:val="00736412"/>
    <w:rsid w:val="0073700B"/>
    <w:rsid w:val="007379A2"/>
    <w:rsid w:val="00737DDA"/>
    <w:rsid w:val="00741B33"/>
    <w:rsid w:val="0074228E"/>
    <w:rsid w:val="007463E9"/>
    <w:rsid w:val="00751B1E"/>
    <w:rsid w:val="00752AD8"/>
    <w:rsid w:val="007535B9"/>
    <w:rsid w:val="00754997"/>
    <w:rsid w:val="00760AAE"/>
    <w:rsid w:val="0076168E"/>
    <w:rsid w:val="00764751"/>
    <w:rsid w:val="00766F4F"/>
    <w:rsid w:val="00770B7E"/>
    <w:rsid w:val="007723D1"/>
    <w:rsid w:val="00774FD2"/>
    <w:rsid w:val="00781945"/>
    <w:rsid w:val="007847E1"/>
    <w:rsid w:val="00784ED2"/>
    <w:rsid w:val="0078714C"/>
    <w:rsid w:val="00787571"/>
    <w:rsid w:val="00793C8F"/>
    <w:rsid w:val="007A0F82"/>
    <w:rsid w:val="007A332F"/>
    <w:rsid w:val="007A61AE"/>
    <w:rsid w:val="007A76CE"/>
    <w:rsid w:val="007B2C3B"/>
    <w:rsid w:val="007B3CBA"/>
    <w:rsid w:val="007B5DFC"/>
    <w:rsid w:val="007C3131"/>
    <w:rsid w:val="007C4259"/>
    <w:rsid w:val="007D07B8"/>
    <w:rsid w:val="007D0B57"/>
    <w:rsid w:val="007D2755"/>
    <w:rsid w:val="007E2A9E"/>
    <w:rsid w:val="007F017A"/>
    <w:rsid w:val="007F5762"/>
    <w:rsid w:val="007F6633"/>
    <w:rsid w:val="007F6B75"/>
    <w:rsid w:val="008008BD"/>
    <w:rsid w:val="00801C9A"/>
    <w:rsid w:val="00803A6E"/>
    <w:rsid w:val="00805A11"/>
    <w:rsid w:val="00806462"/>
    <w:rsid w:val="00807599"/>
    <w:rsid w:val="00814B3E"/>
    <w:rsid w:val="00814BAA"/>
    <w:rsid w:val="00822BFB"/>
    <w:rsid w:val="00823BA0"/>
    <w:rsid w:val="00823FAE"/>
    <w:rsid w:val="0082745A"/>
    <w:rsid w:val="00827DFC"/>
    <w:rsid w:val="0083150D"/>
    <w:rsid w:val="008378C9"/>
    <w:rsid w:val="00842563"/>
    <w:rsid w:val="008446FF"/>
    <w:rsid w:val="00844B8D"/>
    <w:rsid w:val="00846359"/>
    <w:rsid w:val="00846BC3"/>
    <w:rsid w:val="00852459"/>
    <w:rsid w:val="00852A77"/>
    <w:rsid w:val="008542A2"/>
    <w:rsid w:val="008565F8"/>
    <w:rsid w:val="00856A7D"/>
    <w:rsid w:val="008573C9"/>
    <w:rsid w:val="00863468"/>
    <w:rsid w:val="008643ED"/>
    <w:rsid w:val="00873446"/>
    <w:rsid w:val="008738CB"/>
    <w:rsid w:val="00873B9F"/>
    <w:rsid w:val="00876A4C"/>
    <w:rsid w:val="0087732C"/>
    <w:rsid w:val="0088461B"/>
    <w:rsid w:val="008850B3"/>
    <w:rsid w:val="0089173F"/>
    <w:rsid w:val="008921C5"/>
    <w:rsid w:val="00892A8F"/>
    <w:rsid w:val="008A30B1"/>
    <w:rsid w:val="008A6DC4"/>
    <w:rsid w:val="008A6E50"/>
    <w:rsid w:val="008A7B1C"/>
    <w:rsid w:val="008A7C88"/>
    <w:rsid w:val="008B23C9"/>
    <w:rsid w:val="008B2E4D"/>
    <w:rsid w:val="008B3AFB"/>
    <w:rsid w:val="008B5162"/>
    <w:rsid w:val="008B6387"/>
    <w:rsid w:val="008B7C99"/>
    <w:rsid w:val="008B7E32"/>
    <w:rsid w:val="008C0199"/>
    <w:rsid w:val="008C1688"/>
    <w:rsid w:val="008C33D4"/>
    <w:rsid w:val="008C3B18"/>
    <w:rsid w:val="008C3EBA"/>
    <w:rsid w:val="008C7BD2"/>
    <w:rsid w:val="008D09F2"/>
    <w:rsid w:val="008D1747"/>
    <w:rsid w:val="008D1FFD"/>
    <w:rsid w:val="008E18D6"/>
    <w:rsid w:val="008E1D48"/>
    <w:rsid w:val="008E41C4"/>
    <w:rsid w:val="008E5945"/>
    <w:rsid w:val="008E5D6D"/>
    <w:rsid w:val="008F02EB"/>
    <w:rsid w:val="008F1DED"/>
    <w:rsid w:val="0090076D"/>
    <w:rsid w:val="00900F16"/>
    <w:rsid w:val="009049D0"/>
    <w:rsid w:val="00907B20"/>
    <w:rsid w:val="00911113"/>
    <w:rsid w:val="009163CA"/>
    <w:rsid w:val="00917154"/>
    <w:rsid w:val="009177D5"/>
    <w:rsid w:val="00920736"/>
    <w:rsid w:val="00921D42"/>
    <w:rsid w:val="009247B4"/>
    <w:rsid w:val="00926426"/>
    <w:rsid w:val="009273A8"/>
    <w:rsid w:val="00927745"/>
    <w:rsid w:val="009308C4"/>
    <w:rsid w:val="00931822"/>
    <w:rsid w:val="00937D1D"/>
    <w:rsid w:val="00942022"/>
    <w:rsid w:val="009424DA"/>
    <w:rsid w:val="00952ABB"/>
    <w:rsid w:val="009547F1"/>
    <w:rsid w:val="009549DE"/>
    <w:rsid w:val="00957107"/>
    <w:rsid w:val="00957CAA"/>
    <w:rsid w:val="00963FDE"/>
    <w:rsid w:val="0096747D"/>
    <w:rsid w:val="009712F5"/>
    <w:rsid w:val="00971883"/>
    <w:rsid w:val="00971B47"/>
    <w:rsid w:val="0097340A"/>
    <w:rsid w:val="0098214B"/>
    <w:rsid w:val="00983A38"/>
    <w:rsid w:val="00983F0D"/>
    <w:rsid w:val="00984124"/>
    <w:rsid w:val="0098514F"/>
    <w:rsid w:val="00986AF2"/>
    <w:rsid w:val="0098748F"/>
    <w:rsid w:val="009919AA"/>
    <w:rsid w:val="009925B3"/>
    <w:rsid w:val="00995572"/>
    <w:rsid w:val="009A3259"/>
    <w:rsid w:val="009A7B65"/>
    <w:rsid w:val="009B7529"/>
    <w:rsid w:val="009C0D8E"/>
    <w:rsid w:val="009D19BC"/>
    <w:rsid w:val="009D478D"/>
    <w:rsid w:val="009E1738"/>
    <w:rsid w:val="009E36CC"/>
    <w:rsid w:val="009E5EA2"/>
    <w:rsid w:val="009F6516"/>
    <w:rsid w:val="009F65C9"/>
    <w:rsid w:val="009F7C76"/>
    <w:rsid w:val="00A07F0C"/>
    <w:rsid w:val="00A12C67"/>
    <w:rsid w:val="00A134FE"/>
    <w:rsid w:val="00A13864"/>
    <w:rsid w:val="00A1607F"/>
    <w:rsid w:val="00A17917"/>
    <w:rsid w:val="00A219AF"/>
    <w:rsid w:val="00A22A82"/>
    <w:rsid w:val="00A23756"/>
    <w:rsid w:val="00A2433A"/>
    <w:rsid w:val="00A328FF"/>
    <w:rsid w:val="00A36337"/>
    <w:rsid w:val="00A36BA9"/>
    <w:rsid w:val="00A3773C"/>
    <w:rsid w:val="00A40D66"/>
    <w:rsid w:val="00A439CB"/>
    <w:rsid w:val="00A47170"/>
    <w:rsid w:val="00A47973"/>
    <w:rsid w:val="00A56C25"/>
    <w:rsid w:val="00A57BBB"/>
    <w:rsid w:val="00A60AE9"/>
    <w:rsid w:val="00A6256B"/>
    <w:rsid w:val="00A6443B"/>
    <w:rsid w:val="00A648B5"/>
    <w:rsid w:val="00A71041"/>
    <w:rsid w:val="00A717F7"/>
    <w:rsid w:val="00A774E6"/>
    <w:rsid w:val="00A874EB"/>
    <w:rsid w:val="00A915FC"/>
    <w:rsid w:val="00A951D1"/>
    <w:rsid w:val="00AA0F94"/>
    <w:rsid w:val="00AA703C"/>
    <w:rsid w:val="00AB08DB"/>
    <w:rsid w:val="00AB10A9"/>
    <w:rsid w:val="00AB1ABF"/>
    <w:rsid w:val="00AB2E19"/>
    <w:rsid w:val="00AB3CE6"/>
    <w:rsid w:val="00AC1E0B"/>
    <w:rsid w:val="00AC3C20"/>
    <w:rsid w:val="00AC443B"/>
    <w:rsid w:val="00AD0772"/>
    <w:rsid w:val="00AD2F39"/>
    <w:rsid w:val="00AE4C2A"/>
    <w:rsid w:val="00AF568F"/>
    <w:rsid w:val="00AF5E88"/>
    <w:rsid w:val="00AF62E6"/>
    <w:rsid w:val="00AF7987"/>
    <w:rsid w:val="00B005DD"/>
    <w:rsid w:val="00B017BC"/>
    <w:rsid w:val="00B03551"/>
    <w:rsid w:val="00B04F55"/>
    <w:rsid w:val="00B05AA2"/>
    <w:rsid w:val="00B06716"/>
    <w:rsid w:val="00B10097"/>
    <w:rsid w:val="00B11C62"/>
    <w:rsid w:val="00B12E21"/>
    <w:rsid w:val="00B1419F"/>
    <w:rsid w:val="00B14801"/>
    <w:rsid w:val="00B22C03"/>
    <w:rsid w:val="00B24DB5"/>
    <w:rsid w:val="00B27765"/>
    <w:rsid w:val="00B32092"/>
    <w:rsid w:val="00B33357"/>
    <w:rsid w:val="00B3443A"/>
    <w:rsid w:val="00B4196B"/>
    <w:rsid w:val="00B44F44"/>
    <w:rsid w:val="00B50213"/>
    <w:rsid w:val="00B521B5"/>
    <w:rsid w:val="00B54A51"/>
    <w:rsid w:val="00B56045"/>
    <w:rsid w:val="00B56088"/>
    <w:rsid w:val="00B61B8C"/>
    <w:rsid w:val="00B622A0"/>
    <w:rsid w:val="00B62A4D"/>
    <w:rsid w:val="00B64BF4"/>
    <w:rsid w:val="00B65A53"/>
    <w:rsid w:val="00B677CB"/>
    <w:rsid w:val="00B6790E"/>
    <w:rsid w:val="00B7006E"/>
    <w:rsid w:val="00B7072A"/>
    <w:rsid w:val="00B71C0F"/>
    <w:rsid w:val="00B751DC"/>
    <w:rsid w:val="00B77E63"/>
    <w:rsid w:val="00B851BC"/>
    <w:rsid w:val="00B852A9"/>
    <w:rsid w:val="00B943C1"/>
    <w:rsid w:val="00BA2DA8"/>
    <w:rsid w:val="00BA5154"/>
    <w:rsid w:val="00BA5BDA"/>
    <w:rsid w:val="00BB29CC"/>
    <w:rsid w:val="00BB2B8F"/>
    <w:rsid w:val="00BB3EC4"/>
    <w:rsid w:val="00BB5E44"/>
    <w:rsid w:val="00BB7A0F"/>
    <w:rsid w:val="00BC3AE3"/>
    <w:rsid w:val="00BC4563"/>
    <w:rsid w:val="00BD0737"/>
    <w:rsid w:val="00BD19CD"/>
    <w:rsid w:val="00BD3C64"/>
    <w:rsid w:val="00BD469A"/>
    <w:rsid w:val="00BD493C"/>
    <w:rsid w:val="00BD674E"/>
    <w:rsid w:val="00BE050B"/>
    <w:rsid w:val="00BE1C4F"/>
    <w:rsid w:val="00BE234C"/>
    <w:rsid w:val="00BE2FDC"/>
    <w:rsid w:val="00BE2FFD"/>
    <w:rsid w:val="00BE5C76"/>
    <w:rsid w:val="00BE7B7E"/>
    <w:rsid w:val="00BF1765"/>
    <w:rsid w:val="00BF1D56"/>
    <w:rsid w:val="00BF1F3A"/>
    <w:rsid w:val="00BF46E2"/>
    <w:rsid w:val="00BF4E08"/>
    <w:rsid w:val="00C039D8"/>
    <w:rsid w:val="00C03A1F"/>
    <w:rsid w:val="00C04B8E"/>
    <w:rsid w:val="00C05EA0"/>
    <w:rsid w:val="00C07E2E"/>
    <w:rsid w:val="00C11E6F"/>
    <w:rsid w:val="00C13DAB"/>
    <w:rsid w:val="00C16B93"/>
    <w:rsid w:val="00C171B8"/>
    <w:rsid w:val="00C2128B"/>
    <w:rsid w:val="00C2576B"/>
    <w:rsid w:val="00C258B3"/>
    <w:rsid w:val="00C402D9"/>
    <w:rsid w:val="00C41266"/>
    <w:rsid w:val="00C44598"/>
    <w:rsid w:val="00C449D7"/>
    <w:rsid w:val="00C513EA"/>
    <w:rsid w:val="00C51492"/>
    <w:rsid w:val="00C520B8"/>
    <w:rsid w:val="00C609D4"/>
    <w:rsid w:val="00C60C95"/>
    <w:rsid w:val="00C60E16"/>
    <w:rsid w:val="00C641A6"/>
    <w:rsid w:val="00C65587"/>
    <w:rsid w:val="00C71526"/>
    <w:rsid w:val="00C75CD3"/>
    <w:rsid w:val="00C763C7"/>
    <w:rsid w:val="00C76A66"/>
    <w:rsid w:val="00C77857"/>
    <w:rsid w:val="00C77CF4"/>
    <w:rsid w:val="00C80D2D"/>
    <w:rsid w:val="00C8548B"/>
    <w:rsid w:val="00C85CE4"/>
    <w:rsid w:val="00C87B35"/>
    <w:rsid w:val="00C92428"/>
    <w:rsid w:val="00C9282C"/>
    <w:rsid w:val="00C9742D"/>
    <w:rsid w:val="00CA50A5"/>
    <w:rsid w:val="00CA7FA4"/>
    <w:rsid w:val="00CB1FE0"/>
    <w:rsid w:val="00CB237E"/>
    <w:rsid w:val="00CB4CB4"/>
    <w:rsid w:val="00CC6FBE"/>
    <w:rsid w:val="00CD0FC9"/>
    <w:rsid w:val="00CD2266"/>
    <w:rsid w:val="00CD2EE5"/>
    <w:rsid w:val="00CD6D59"/>
    <w:rsid w:val="00CE0151"/>
    <w:rsid w:val="00CE692F"/>
    <w:rsid w:val="00CE7F10"/>
    <w:rsid w:val="00CF25BA"/>
    <w:rsid w:val="00CF7324"/>
    <w:rsid w:val="00CF77B4"/>
    <w:rsid w:val="00D023E5"/>
    <w:rsid w:val="00D037BF"/>
    <w:rsid w:val="00D03F22"/>
    <w:rsid w:val="00D04B1F"/>
    <w:rsid w:val="00D05793"/>
    <w:rsid w:val="00D05E6D"/>
    <w:rsid w:val="00D06860"/>
    <w:rsid w:val="00D14DF4"/>
    <w:rsid w:val="00D1603C"/>
    <w:rsid w:val="00D16B3B"/>
    <w:rsid w:val="00D172D5"/>
    <w:rsid w:val="00D21158"/>
    <w:rsid w:val="00D313C2"/>
    <w:rsid w:val="00D33328"/>
    <w:rsid w:val="00D40784"/>
    <w:rsid w:val="00D42D7C"/>
    <w:rsid w:val="00D436C5"/>
    <w:rsid w:val="00D44871"/>
    <w:rsid w:val="00D4555C"/>
    <w:rsid w:val="00D45BC9"/>
    <w:rsid w:val="00D464EA"/>
    <w:rsid w:val="00D47EF4"/>
    <w:rsid w:val="00D52B8A"/>
    <w:rsid w:val="00D53734"/>
    <w:rsid w:val="00D55A19"/>
    <w:rsid w:val="00D56A04"/>
    <w:rsid w:val="00D6613A"/>
    <w:rsid w:val="00D67E21"/>
    <w:rsid w:val="00D70E1B"/>
    <w:rsid w:val="00D729A9"/>
    <w:rsid w:val="00D72D22"/>
    <w:rsid w:val="00D76195"/>
    <w:rsid w:val="00D8024A"/>
    <w:rsid w:val="00D853E7"/>
    <w:rsid w:val="00D87C74"/>
    <w:rsid w:val="00D91B79"/>
    <w:rsid w:val="00D96D92"/>
    <w:rsid w:val="00D9732E"/>
    <w:rsid w:val="00DA2500"/>
    <w:rsid w:val="00DA48C1"/>
    <w:rsid w:val="00DA572E"/>
    <w:rsid w:val="00DB1108"/>
    <w:rsid w:val="00DB3B3D"/>
    <w:rsid w:val="00DB5C87"/>
    <w:rsid w:val="00DC66C5"/>
    <w:rsid w:val="00DC755B"/>
    <w:rsid w:val="00DC7ADC"/>
    <w:rsid w:val="00DC7B48"/>
    <w:rsid w:val="00DD1252"/>
    <w:rsid w:val="00DD1C73"/>
    <w:rsid w:val="00DD489B"/>
    <w:rsid w:val="00DD4EAE"/>
    <w:rsid w:val="00DE1F11"/>
    <w:rsid w:val="00DE4010"/>
    <w:rsid w:val="00DE4C2B"/>
    <w:rsid w:val="00DF2876"/>
    <w:rsid w:val="00DF3972"/>
    <w:rsid w:val="00DF757A"/>
    <w:rsid w:val="00E06919"/>
    <w:rsid w:val="00E06CFC"/>
    <w:rsid w:val="00E10894"/>
    <w:rsid w:val="00E10E03"/>
    <w:rsid w:val="00E13C4E"/>
    <w:rsid w:val="00E13F3F"/>
    <w:rsid w:val="00E159C5"/>
    <w:rsid w:val="00E16F11"/>
    <w:rsid w:val="00E1713A"/>
    <w:rsid w:val="00E22040"/>
    <w:rsid w:val="00E27009"/>
    <w:rsid w:val="00E278AA"/>
    <w:rsid w:val="00E36F68"/>
    <w:rsid w:val="00E41931"/>
    <w:rsid w:val="00E423A0"/>
    <w:rsid w:val="00E4373D"/>
    <w:rsid w:val="00E46B39"/>
    <w:rsid w:val="00E471AD"/>
    <w:rsid w:val="00E509F2"/>
    <w:rsid w:val="00E62410"/>
    <w:rsid w:val="00E62D7E"/>
    <w:rsid w:val="00E65733"/>
    <w:rsid w:val="00E6718E"/>
    <w:rsid w:val="00E7122D"/>
    <w:rsid w:val="00E71D52"/>
    <w:rsid w:val="00E736CD"/>
    <w:rsid w:val="00E740FE"/>
    <w:rsid w:val="00E77954"/>
    <w:rsid w:val="00E8006A"/>
    <w:rsid w:val="00E80EE6"/>
    <w:rsid w:val="00E81885"/>
    <w:rsid w:val="00E8263B"/>
    <w:rsid w:val="00E844A6"/>
    <w:rsid w:val="00E865C6"/>
    <w:rsid w:val="00E9201E"/>
    <w:rsid w:val="00EA07F4"/>
    <w:rsid w:val="00EB2327"/>
    <w:rsid w:val="00EB5562"/>
    <w:rsid w:val="00EB5963"/>
    <w:rsid w:val="00EB5BB3"/>
    <w:rsid w:val="00EB63D4"/>
    <w:rsid w:val="00EB681E"/>
    <w:rsid w:val="00EB69E2"/>
    <w:rsid w:val="00EC4D94"/>
    <w:rsid w:val="00EC63A5"/>
    <w:rsid w:val="00ED28C8"/>
    <w:rsid w:val="00ED4903"/>
    <w:rsid w:val="00ED62F2"/>
    <w:rsid w:val="00ED643C"/>
    <w:rsid w:val="00EF3B8D"/>
    <w:rsid w:val="00EF4ED0"/>
    <w:rsid w:val="00EF5AED"/>
    <w:rsid w:val="00EF76E7"/>
    <w:rsid w:val="00EF7847"/>
    <w:rsid w:val="00F00C84"/>
    <w:rsid w:val="00F0472A"/>
    <w:rsid w:val="00F178AD"/>
    <w:rsid w:val="00F205D5"/>
    <w:rsid w:val="00F221EC"/>
    <w:rsid w:val="00F22E75"/>
    <w:rsid w:val="00F24F5F"/>
    <w:rsid w:val="00F31478"/>
    <w:rsid w:val="00F31FAE"/>
    <w:rsid w:val="00F339AD"/>
    <w:rsid w:val="00F371E1"/>
    <w:rsid w:val="00F40B80"/>
    <w:rsid w:val="00F40F7C"/>
    <w:rsid w:val="00F44077"/>
    <w:rsid w:val="00F4576D"/>
    <w:rsid w:val="00F45ACE"/>
    <w:rsid w:val="00F460DA"/>
    <w:rsid w:val="00F47CF4"/>
    <w:rsid w:val="00F517D8"/>
    <w:rsid w:val="00F53178"/>
    <w:rsid w:val="00F54022"/>
    <w:rsid w:val="00F55767"/>
    <w:rsid w:val="00F56255"/>
    <w:rsid w:val="00F56D5A"/>
    <w:rsid w:val="00F573C5"/>
    <w:rsid w:val="00F60646"/>
    <w:rsid w:val="00F61C4E"/>
    <w:rsid w:val="00F62E0A"/>
    <w:rsid w:val="00F64284"/>
    <w:rsid w:val="00F645A7"/>
    <w:rsid w:val="00F649E6"/>
    <w:rsid w:val="00F67175"/>
    <w:rsid w:val="00F74BB3"/>
    <w:rsid w:val="00F752D1"/>
    <w:rsid w:val="00F75488"/>
    <w:rsid w:val="00F76D18"/>
    <w:rsid w:val="00F77CB5"/>
    <w:rsid w:val="00F80097"/>
    <w:rsid w:val="00F80C74"/>
    <w:rsid w:val="00F82613"/>
    <w:rsid w:val="00F83E6A"/>
    <w:rsid w:val="00F8669A"/>
    <w:rsid w:val="00F8704F"/>
    <w:rsid w:val="00F87F4B"/>
    <w:rsid w:val="00F94DC8"/>
    <w:rsid w:val="00F95F41"/>
    <w:rsid w:val="00F97567"/>
    <w:rsid w:val="00F97848"/>
    <w:rsid w:val="00FA0883"/>
    <w:rsid w:val="00FA1B8C"/>
    <w:rsid w:val="00FA1BB8"/>
    <w:rsid w:val="00FA573C"/>
    <w:rsid w:val="00FA5993"/>
    <w:rsid w:val="00FB0505"/>
    <w:rsid w:val="00FB2A4D"/>
    <w:rsid w:val="00FB514B"/>
    <w:rsid w:val="00FB7611"/>
    <w:rsid w:val="00FB7AE7"/>
    <w:rsid w:val="00FC14E7"/>
    <w:rsid w:val="00FC2463"/>
    <w:rsid w:val="00FC2504"/>
    <w:rsid w:val="00FC6451"/>
    <w:rsid w:val="00FC7270"/>
    <w:rsid w:val="00FD5EDE"/>
    <w:rsid w:val="00FE082F"/>
    <w:rsid w:val="00FE6354"/>
    <w:rsid w:val="00FF0C90"/>
    <w:rsid w:val="00FF1F8D"/>
    <w:rsid w:val="00FF3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3C2463-7A39-4683-8D4B-FCFB71EE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BA"/>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F6717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BE1C4F"/>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Descripcin">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4Car">
    <w:name w:val="Título 4 Car"/>
    <w:basedOn w:val="Fuentedeprrafopredeter"/>
    <w:link w:val="Ttulo4"/>
    <w:uiPriority w:val="9"/>
    <w:rsid w:val="00BE1C4F"/>
    <w:rPr>
      <w:rFonts w:asciiTheme="majorHAnsi" w:eastAsiaTheme="majorEastAsia" w:hAnsiTheme="majorHAnsi" w:cstheme="majorBidi"/>
      <w:b/>
      <w:bCs/>
      <w:i/>
      <w:iCs/>
      <w:color w:val="5B9BD5" w:themeColor="accent1"/>
    </w:rPr>
  </w:style>
  <w:style w:type="character" w:styleId="Textoennegrita">
    <w:name w:val="Strong"/>
    <w:qFormat/>
    <w:rsid w:val="00233F0F"/>
    <w:rPr>
      <w:b/>
      <w:bCs/>
    </w:rPr>
  </w:style>
  <w:style w:type="table" w:styleId="Listavistosa-nfasis2">
    <w:name w:val="Colorful List Accent 2"/>
    <w:basedOn w:val="Tablanormal"/>
    <w:uiPriority w:val="72"/>
    <w:rsid w:val="004F05D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Ttulo3Car">
    <w:name w:val="Título 3 Car"/>
    <w:basedOn w:val="Fuentedeprrafopredeter"/>
    <w:link w:val="Ttulo3"/>
    <w:uiPriority w:val="9"/>
    <w:rsid w:val="00F67175"/>
    <w:rPr>
      <w:rFonts w:asciiTheme="majorHAnsi" w:eastAsiaTheme="majorEastAsia" w:hAnsiTheme="majorHAnsi" w:cstheme="majorBidi"/>
      <w:b/>
      <w:bCs/>
      <w:color w:val="5B9BD5" w:themeColor="accent1"/>
    </w:rPr>
  </w:style>
  <w:style w:type="paragraph" w:styleId="Ttulo">
    <w:name w:val="Title"/>
    <w:basedOn w:val="Normal"/>
    <w:next w:val="Normal"/>
    <w:link w:val="TtuloCar"/>
    <w:uiPriority w:val="10"/>
    <w:qFormat/>
    <w:rsid w:val="00F6717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67175"/>
    <w:rPr>
      <w:rFonts w:asciiTheme="majorHAnsi" w:eastAsiaTheme="majorEastAsia" w:hAnsiTheme="majorHAnsi" w:cstheme="majorBidi"/>
      <w:color w:val="323E4F" w:themeColor="text2" w:themeShade="BF"/>
      <w:spacing w:val="5"/>
      <w:kern w:val="28"/>
      <w:sz w:val="52"/>
      <w:szCs w:val="52"/>
    </w:rPr>
  </w:style>
  <w:style w:type="table" w:styleId="Tabladelista3-nfasis1">
    <w:name w:val="List Table 3 Accent 1"/>
    <w:basedOn w:val="Tablanormal"/>
    <w:uiPriority w:val="48"/>
    <w:rsid w:val="005D0AFE"/>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itpeqazul">
    <w:name w:val="tit_peq_azul"/>
    <w:basedOn w:val="Fuentedeprrafopredeter"/>
    <w:rsid w:val="006B675C"/>
  </w:style>
  <w:style w:type="character" w:customStyle="1" w:styleId="subheader">
    <w:name w:val="subheader"/>
    <w:basedOn w:val="Fuentedeprrafopredeter"/>
    <w:rsid w:val="00695C11"/>
  </w:style>
  <w:style w:type="table" w:styleId="Tablaconcuadrcula4-nfasis1">
    <w:name w:val="Grid Table 4 Accent 1"/>
    <w:basedOn w:val="Tablanormal"/>
    <w:uiPriority w:val="49"/>
    <w:rsid w:val="00FB7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1clara-nfasis5">
    <w:name w:val="Grid Table 1 Light Accent 5"/>
    <w:basedOn w:val="Tablanormal"/>
    <w:uiPriority w:val="46"/>
    <w:rsid w:val="0009365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6concolores-nfasis3">
    <w:name w:val="Grid Table 6 Colorful Accent 3"/>
    <w:basedOn w:val="Tablanormal"/>
    <w:uiPriority w:val="51"/>
    <w:rsid w:val="00235FF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1">
    <w:name w:val="Grid Table 1 Light Accent 1"/>
    <w:basedOn w:val="Tablanormal"/>
    <w:uiPriority w:val="46"/>
    <w:rsid w:val="00C60C9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C60C9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B65A53"/>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3-nfasis5">
    <w:name w:val="List Table 3 Accent 5"/>
    <w:basedOn w:val="Tablanormal"/>
    <w:uiPriority w:val="48"/>
    <w:rsid w:val="00F339A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6concolores-nfasis1">
    <w:name w:val="List Table 6 Colorful Accent 1"/>
    <w:basedOn w:val="Tablanormal"/>
    <w:uiPriority w:val="51"/>
    <w:rsid w:val="00F339A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748">
      <w:bodyDiv w:val="1"/>
      <w:marLeft w:val="0"/>
      <w:marRight w:val="0"/>
      <w:marTop w:val="0"/>
      <w:marBottom w:val="0"/>
      <w:divBdr>
        <w:top w:val="none" w:sz="0" w:space="0" w:color="auto"/>
        <w:left w:val="none" w:sz="0" w:space="0" w:color="auto"/>
        <w:bottom w:val="none" w:sz="0" w:space="0" w:color="auto"/>
        <w:right w:val="none" w:sz="0" w:space="0" w:color="auto"/>
      </w:divBdr>
    </w:div>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148404231">
      <w:bodyDiv w:val="1"/>
      <w:marLeft w:val="0"/>
      <w:marRight w:val="0"/>
      <w:marTop w:val="0"/>
      <w:marBottom w:val="0"/>
      <w:divBdr>
        <w:top w:val="none" w:sz="0" w:space="0" w:color="auto"/>
        <w:left w:val="none" w:sz="0" w:space="0" w:color="auto"/>
        <w:bottom w:val="none" w:sz="0" w:space="0" w:color="auto"/>
        <w:right w:val="none" w:sz="0" w:space="0" w:color="auto"/>
      </w:divBdr>
    </w:div>
    <w:div w:id="425736801">
      <w:bodyDiv w:val="1"/>
      <w:marLeft w:val="0"/>
      <w:marRight w:val="0"/>
      <w:marTop w:val="0"/>
      <w:marBottom w:val="0"/>
      <w:divBdr>
        <w:top w:val="none" w:sz="0" w:space="0" w:color="auto"/>
        <w:left w:val="none" w:sz="0" w:space="0" w:color="auto"/>
        <w:bottom w:val="none" w:sz="0" w:space="0" w:color="auto"/>
        <w:right w:val="none" w:sz="0" w:space="0" w:color="auto"/>
      </w:divBdr>
    </w:div>
    <w:div w:id="426392071">
      <w:bodyDiv w:val="1"/>
      <w:marLeft w:val="0"/>
      <w:marRight w:val="0"/>
      <w:marTop w:val="0"/>
      <w:marBottom w:val="0"/>
      <w:divBdr>
        <w:top w:val="none" w:sz="0" w:space="0" w:color="auto"/>
        <w:left w:val="none" w:sz="0" w:space="0" w:color="auto"/>
        <w:bottom w:val="none" w:sz="0" w:space="0" w:color="auto"/>
        <w:right w:val="none" w:sz="0" w:space="0" w:color="auto"/>
      </w:divBdr>
    </w:div>
    <w:div w:id="442726314">
      <w:bodyDiv w:val="1"/>
      <w:marLeft w:val="0"/>
      <w:marRight w:val="0"/>
      <w:marTop w:val="0"/>
      <w:marBottom w:val="0"/>
      <w:divBdr>
        <w:top w:val="none" w:sz="0" w:space="0" w:color="auto"/>
        <w:left w:val="none" w:sz="0" w:space="0" w:color="auto"/>
        <w:bottom w:val="none" w:sz="0" w:space="0" w:color="auto"/>
        <w:right w:val="none" w:sz="0" w:space="0" w:color="auto"/>
      </w:divBdr>
    </w:div>
    <w:div w:id="529339644">
      <w:bodyDiv w:val="1"/>
      <w:marLeft w:val="0"/>
      <w:marRight w:val="0"/>
      <w:marTop w:val="0"/>
      <w:marBottom w:val="0"/>
      <w:divBdr>
        <w:top w:val="none" w:sz="0" w:space="0" w:color="auto"/>
        <w:left w:val="none" w:sz="0" w:space="0" w:color="auto"/>
        <w:bottom w:val="none" w:sz="0" w:space="0" w:color="auto"/>
        <w:right w:val="none" w:sz="0" w:space="0" w:color="auto"/>
      </w:divBdr>
    </w:div>
    <w:div w:id="633564507">
      <w:bodyDiv w:val="1"/>
      <w:marLeft w:val="0"/>
      <w:marRight w:val="0"/>
      <w:marTop w:val="0"/>
      <w:marBottom w:val="0"/>
      <w:divBdr>
        <w:top w:val="none" w:sz="0" w:space="0" w:color="auto"/>
        <w:left w:val="none" w:sz="0" w:space="0" w:color="auto"/>
        <w:bottom w:val="none" w:sz="0" w:space="0" w:color="auto"/>
        <w:right w:val="none" w:sz="0" w:space="0" w:color="auto"/>
      </w:divBdr>
    </w:div>
    <w:div w:id="691032849">
      <w:bodyDiv w:val="1"/>
      <w:marLeft w:val="0"/>
      <w:marRight w:val="0"/>
      <w:marTop w:val="0"/>
      <w:marBottom w:val="0"/>
      <w:divBdr>
        <w:top w:val="none" w:sz="0" w:space="0" w:color="auto"/>
        <w:left w:val="none" w:sz="0" w:space="0" w:color="auto"/>
        <w:bottom w:val="none" w:sz="0" w:space="0" w:color="auto"/>
        <w:right w:val="none" w:sz="0" w:space="0" w:color="auto"/>
      </w:divBdr>
    </w:div>
    <w:div w:id="717827026">
      <w:bodyDiv w:val="1"/>
      <w:marLeft w:val="0"/>
      <w:marRight w:val="0"/>
      <w:marTop w:val="0"/>
      <w:marBottom w:val="0"/>
      <w:divBdr>
        <w:top w:val="none" w:sz="0" w:space="0" w:color="auto"/>
        <w:left w:val="none" w:sz="0" w:space="0" w:color="auto"/>
        <w:bottom w:val="none" w:sz="0" w:space="0" w:color="auto"/>
        <w:right w:val="none" w:sz="0" w:space="0" w:color="auto"/>
      </w:divBdr>
    </w:div>
    <w:div w:id="729157410">
      <w:bodyDiv w:val="1"/>
      <w:marLeft w:val="0"/>
      <w:marRight w:val="0"/>
      <w:marTop w:val="0"/>
      <w:marBottom w:val="0"/>
      <w:divBdr>
        <w:top w:val="none" w:sz="0" w:space="0" w:color="auto"/>
        <w:left w:val="none" w:sz="0" w:space="0" w:color="auto"/>
        <w:bottom w:val="none" w:sz="0" w:space="0" w:color="auto"/>
        <w:right w:val="none" w:sz="0" w:space="0" w:color="auto"/>
      </w:divBdr>
    </w:div>
    <w:div w:id="741870148">
      <w:bodyDiv w:val="1"/>
      <w:marLeft w:val="0"/>
      <w:marRight w:val="0"/>
      <w:marTop w:val="0"/>
      <w:marBottom w:val="0"/>
      <w:divBdr>
        <w:top w:val="none" w:sz="0" w:space="0" w:color="auto"/>
        <w:left w:val="none" w:sz="0" w:space="0" w:color="auto"/>
        <w:bottom w:val="none" w:sz="0" w:space="0" w:color="auto"/>
        <w:right w:val="none" w:sz="0" w:space="0" w:color="auto"/>
      </w:divBdr>
    </w:div>
    <w:div w:id="863522845">
      <w:bodyDiv w:val="1"/>
      <w:marLeft w:val="0"/>
      <w:marRight w:val="0"/>
      <w:marTop w:val="0"/>
      <w:marBottom w:val="0"/>
      <w:divBdr>
        <w:top w:val="none" w:sz="0" w:space="0" w:color="auto"/>
        <w:left w:val="none" w:sz="0" w:space="0" w:color="auto"/>
        <w:bottom w:val="none" w:sz="0" w:space="0" w:color="auto"/>
        <w:right w:val="none" w:sz="0" w:space="0" w:color="auto"/>
      </w:divBdr>
    </w:div>
    <w:div w:id="1049300855">
      <w:bodyDiv w:val="1"/>
      <w:marLeft w:val="0"/>
      <w:marRight w:val="0"/>
      <w:marTop w:val="0"/>
      <w:marBottom w:val="0"/>
      <w:divBdr>
        <w:top w:val="none" w:sz="0" w:space="0" w:color="auto"/>
        <w:left w:val="none" w:sz="0" w:space="0" w:color="auto"/>
        <w:bottom w:val="none" w:sz="0" w:space="0" w:color="auto"/>
        <w:right w:val="none" w:sz="0" w:space="0" w:color="auto"/>
      </w:divBdr>
    </w:div>
    <w:div w:id="1088649118">
      <w:bodyDiv w:val="1"/>
      <w:marLeft w:val="0"/>
      <w:marRight w:val="0"/>
      <w:marTop w:val="0"/>
      <w:marBottom w:val="0"/>
      <w:divBdr>
        <w:top w:val="none" w:sz="0" w:space="0" w:color="auto"/>
        <w:left w:val="none" w:sz="0" w:space="0" w:color="auto"/>
        <w:bottom w:val="none" w:sz="0" w:space="0" w:color="auto"/>
        <w:right w:val="none" w:sz="0" w:space="0" w:color="auto"/>
      </w:divBdr>
    </w:div>
    <w:div w:id="1103495392">
      <w:bodyDiv w:val="1"/>
      <w:marLeft w:val="0"/>
      <w:marRight w:val="0"/>
      <w:marTop w:val="0"/>
      <w:marBottom w:val="0"/>
      <w:divBdr>
        <w:top w:val="none" w:sz="0" w:space="0" w:color="auto"/>
        <w:left w:val="none" w:sz="0" w:space="0" w:color="auto"/>
        <w:bottom w:val="none" w:sz="0" w:space="0" w:color="auto"/>
        <w:right w:val="none" w:sz="0" w:space="0" w:color="auto"/>
      </w:divBdr>
    </w:div>
    <w:div w:id="1293287983">
      <w:bodyDiv w:val="1"/>
      <w:marLeft w:val="0"/>
      <w:marRight w:val="0"/>
      <w:marTop w:val="0"/>
      <w:marBottom w:val="0"/>
      <w:divBdr>
        <w:top w:val="none" w:sz="0" w:space="0" w:color="auto"/>
        <w:left w:val="none" w:sz="0" w:space="0" w:color="auto"/>
        <w:bottom w:val="none" w:sz="0" w:space="0" w:color="auto"/>
        <w:right w:val="none" w:sz="0" w:space="0" w:color="auto"/>
      </w:divBdr>
    </w:div>
    <w:div w:id="1457529495">
      <w:bodyDiv w:val="1"/>
      <w:marLeft w:val="0"/>
      <w:marRight w:val="0"/>
      <w:marTop w:val="0"/>
      <w:marBottom w:val="0"/>
      <w:divBdr>
        <w:top w:val="none" w:sz="0" w:space="0" w:color="auto"/>
        <w:left w:val="none" w:sz="0" w:space="0" w:color="auto"/>
        <w:bottom w:val="none" w:sz="0" w:space="0" w:color="auto"/>
        <w:right w:val="none" w:sz="0" w:space="0" w:color="auto"/>
      </w:divBdr>
    </w:div>
    <w:div w:id="1485008166">
      <w:bodyDiv w:val="1"/>
      <w:marLeft w:val="0"/>
      <w:marRight w:val="0"/>
      <w:marTop w:val="0"/>
      <w:marBottom w:val="0"/>
      <w:divBdr>
        <w:top w:val="none" w:sz="0" w:space="0" w:color="auto"/>
        <w:left w:val="none" w:sz="0" w:space="0" w:color="auto"/>
        <w:bottom w:val="none" w:sz="0" w:space="0" w:color="auto"/>
        <w:right w:val="none" w:sz="0" w:space="0" w:color="auto"/>
      </w:divBdr>
    </w:div>
    <w:div w:id="1515263253">
      <w:bodyDiv w:val="1"/>
      <w:marLeft w:val="0"/>
      <w:marRight w:val="0"/>
      <w:marTop w:val="0"/>
      <w:marBottom w:val="0"/>
      <w:divBdr>
        <w:top w:val="none" w:sz="0" w:space="0" w:color="auto"/>
        <w:left w:val="none" w:sz="0" w:space="0" w:color="auto"/>
        <w:bottom w:val="none" w:sz="0" w:space="0" w:color="auto"/>
        <w:right w:val="none" w:sz="0" w:space="0" w:color="auto"/>
      </w:divBdr>
    </w:div>
    <w:div w:id="1517231100">
      <w:bodyDiv w:val="1"/>
      <w:marLeft w:val="0"/>
      <w:marRight w:val="0"/>
      <w:marTop w:val="0"/>
      <w:marBottom w:val="0"/>
      <w:divBdr>
        <w:top w:val="none" w:sz="0" w:space="0" w:color="auto"/>
        <w:left w:val="none" w:sz="0" w:space="0" w:color="auto"/>
        <w:bottom w:val="none" w:sz="0" w:space="0" w:color="auto"/>
        <w:right w:val="none" w:sz="0" w:space="0" w:color="auto"/>
      </w:divBdr>
    </w:div>
    <w:div w:id="1628705169">
      <w:bodyDiv w:val="1"/>
      <w:marLeft w:val="0"/>
      <w:marRight w:val="0"/>
      <w:marTop w:val="0"/>
      <w:marBottom w:val="0"/>
      <w:divBdr>
        <w:top w:val="none" w:sz="0" w:space="0" w:color="auto"/>
        <w:left w:val="none" w:sz="0" w:space="0" w:color="auto"/>
        <w:bottom w:val="none" w:sz="0" w:space="0" w:color="auto"/>
        <w:right w:val="none" w:sz="0" w:space="0" w:color="auto"/>
      </w:divBdr>
    </w:div>
    <w:div w:id="1659113411">
      <w:bodyDiv w:val="1"/>
      <w:marLeft w:val="0"/>
      <w:marRight w:val="0"/>
      <w:marTop w:val="0"/>
      <w:marBottom w:val="0"/>
      <w:divBdr>
        <w:top w:val="none" w:sz="0" w:space="0" w:color="auto"/>
        <w:left w:val="none" w:sz="0" w:space="0" w:color="auto"/>
        <w:bottom w:val="none" w:sz="0" w:space="0" w:color="auto"/>
        <w:right w:val="none" w:sz="0" w:space="0" w:color="auto"/>
      </w:divBdr>
    </w:div>
    <w:div w:id="1698193598">
      <w:bodyDiv w:val="1"/>
      <w:marLeft w:val="0"/>
      <w:marRight w:val="0"/>
      <w:marTop w:val="0"/>
      <w:marBottom w:val="0"/>
      <w:divBdr>
        <w:top w:val="none" w:sz="0" w:space="0" w:color="auto"/>
        <w:left w:val="none" w:sz="0" w:space="0" w:color="auto"/>
        <w:bottom w:val="none" w:sz="0" w:space="0" w:color="auto"/>
        <w:right w:val="none" w:sz="0" w:space="0" w:color="auto"/>
      </w:divBdr>
    </w:div>
    <w:div w:id="1754279925">
      <w:bodyDiv w:val="1"/>
      <w:marLeft w:val="0"/>
      <w:marRight w:val="0"/>
      <w:marTop w:val="0"/>
      <w:marBottom w:val="0"/>
      <w:divBdr>
        <w:top w:val="none" w:sz="0" w:space="0" w:color="auto"/>
        <w:left w:val="none" w:sz="0" w:space="0" w:color="auto"/>
        <w:bottom w:val="none" w:sz="0" w:space="0" w:color="auto"/>
        <w:right w:val="none" w:sz="0" w:space="0" w:color="auto"/>
      </w:divBdr>
    </w:div>
    <w:div w:id="1759864615">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813792394">
      <w:bodyDiv w:val="1"/>
      <w:marLeft w:val="0"/>
      <w:marRight w:val="0"/>
      <w:marTop w:val="0"/>
      <w:marBottom w:val="0"/>
      <w:divBdr>
        <w:top w:val="none" w:sz="0" w:space="0" w:color="auto"/>
        <w:left w:val="none" w:sz="0" w:space="0" w:color="auto"/>
        <w:bottom w:val="none" w:sz="0" w:space="0" w:color="auto"/>
        <w:right w:val="none" w:sz="0" w:space="0" w:color="auto"/>
      </w:divBdr>
    </w:div>
    <w:div w:id="1824735083">
      <w:bodyDiv w:val="1"/>
      <w:marLeft w:val="0"/>
      <w:marRight w:val="0"/>
      <w:marTop w:val="0"/>
      <w:marBottom w:val="0"/>
      <w:divBdr>
        <w:top w:val="none" w:sz="0" w:space="0" w:color="auto"/>
        <w:left w:val="none" w:sz="0" w:space="0" w:color="auto"/>
        <w:bottom w:val="none" w:sz="0" w:space="0" w:color="auto"/>
        <w:right w:val="none" w:sz="0" w:space="0" w:color="auto"/>
      </w:divBdr>
    </w:div>
    <w:div w:id="1888103295">
      <w:bodyDiv w:val="1"/>
      <w:marLeft w:val="0"/>
      <w:marRight w:val="0"/>
      <w:marTop w:val="0"/>
      <w:marBottom w:val="0"/>
      <w:divBdr>
        <w:top w:val="none" w:sz="0" w:space="0" w:color="auto"/>
        <w:left w:val="none" w:sz="0" w:space="0" w:color="auto"/>
        <w:bottom w:val="none" w:sz="0" w:space="0" w:color="auto"/>
        <w:right w:val="none" w:sz="0" w:space="0" w:color="auto"/>
      </w:divBdr>
    </w:div>
    <w:div w:id="1954633507">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 w:id="19847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ADFF-D4C5-4BFC-8A17-2F0D170C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6276</Words>
  <Characters>34523</Characters>
  <Application>Microsoft Office Word</Application>
  <DocSecurity>0</DocSecurity>
  <Lines>287</Lines>
  <Paragraphs>81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Informe de Austeridad Primer Trimestre 2019</vt:lpstr>
      <vt:lpstr/>
      <vt:lpstr>REZAGO PRESUPUESTAL VIGENCIA FISCAL 2020</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Austeridad Primer Trimestre 2019</dc:title>
  <dc:subject/>
  <dc:creator>Departamento Administrativo de la Función Pública</dc:creator>
  <cp:keywords>Austeridad, Gasto</cp:keywords>
  <dc:description/>
  <cp:lastModifiedBy>Luz Stella Patiño Jurado</cp:lastModifiedBy>
  <cp:revision>2</cp:revision>
  <cp:lastPrinted>2019-02-06T15:13:00Z</cp:lastPrinted>
  <dcterms:created xsi:type="dcterms:W3CDTF">2020-12-04T19:59:00Z</dcterms:created>
  <dcterms:modified xsi:type="dcterms:W3CDTF">2020-12-04T19:59:00Z</dcterms:modified>
</cp:coreProperties>
</file>