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16AD" w:rsidRPr="00F616AD" w:rsidRDefault="00F616AD" w:rsidP="00F616AD">
      <w:pPr>
        <w:tabs>
          <w:tab w:val="left" w:pos="1005"/>
          <w:tab w:val="center" w:pos="4759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3657600</wp:posOffset>
                </wp:positionV>
                <wp:extent cx="5019675" cy="1152525"/>
                <wp:effectExtent l="0" t="0" r="0" b="9525"/>
                <wp:wrapSquare wrapText="bothSides"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6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F616AD" w:rsidRDefault="00F616AD" w:rsidP="00F616AD">
                            <w:pPr>
                              <w:jc w:val="right"/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 I</w:t>
                            </w:r>
                            <w:r w:rsidRPr="00AC735A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NFORME </w:t>
                            </w: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DE AUDITORIA – DIRECCIÓN </w:t>
                            </w:r>
                            <w:r w:rsidR="00255BB9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>JURÍDICA</w:t>
                            </w: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616AD" w:rsidRDefault="00F616AD" w:rsidP="00F616AD">
                            <w:pPr>
                              <w:jc w:val="right"/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>Periodo: Enero – Junio de 2015</w:t>
                            </w:r>
                          </w:p>
                          <w:p w:rsidR="00F616AD" w:rsidRPr="007B4F82" w:rsidRDefault="00F616AD" w:rsidP="00F616AD">
                            <w:pPr>
                              <w:jc w:val="right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117pt;margin-top:4in;width:395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" filled="f" stroked="f">
                <v:path arrowok="t"/>
                <v:textbox>
                  <w:txbxContent>
                    <w:p w:rsidR="00F616AD" w:rsidRDefault="00F616AD" w:rsidP="00F616AD">
                      <w:pPr>
                        <w:jc w:val="right"/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 I</w:t>
                      </w:r>
                      <w:r w:rsidRPr="00AC735A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NFORME </w:t>
                      </w: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DE AUDITORIA – DIRECCIÓN </w:t>
                      </w:r>
                      <w:r w:rsidR="00255BB9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>JURÍDICA</w:t>
                      </w: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F616AD" w:rsidRDefault="00F616AD" w:rsidP="00F616AD">
                      <w:pPr>
                        <w:jc w:val="right"/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>Periodo: Enero – Junio de 2015</w:t>
                      </w:r>
                    </w:p>
                    <w:p w:rsidR="00F616AD" w:rsidRPr="007B4F82" w:rsidRDefault="00F616AD" w:rsidP="00F616AD">
                      <w:pPr>
                        <w:jc w:val="right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8129270</wp:posOffset>
                </wp:positionV>
                <wp:extent cx="5372100" cy="1028700"/>
                <wp:effectExtent l="0" t="0" r="0" b="0"/>
                <wp:wrapSquare wrapText="bothSides"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F616AD" w:rsidRPr="007B4F82" w:rsidRDefault="00F616AD" w:rsidP="00F616AD">
                            <w:pPr>
                              <w:ind w:left="4248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color w:val="7F7F7F"/>
                                <w:sz w:val="28"/>
                                <w:szCs w:val="28"/>
                              </w:rPr>
                              <w:t>Oficina de Control Interno</w:t>
                            </w:r>
                            <w:r w:rsidRPr="007B4F82">
                              <w:rPr>
                                <w:rFonts w:ascii="Futura Std Book" w:hAnsi="Futura Std Book"/>
                                <w:color w:val="7F7F7F"/>
                                <w:sz w:val="28"/>
                                <w:szCs w:val="28"/>
                              </w:rPr>
                              <w:br/>
                            </w:r>
                            <w:r w:rsidRPr="003C100B">
                              <w:rPr>
                                <w:rFonts w:ascii="Futura Std Book" w:hAnsi="Futura Std Book"/>
                                <w:color w:val="7F7F7F"/>
                              </w:rPr>
                              <w:t>Bogotá, Agosto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uadro de texto 26" o:spid="_x0000_s1027" type="#_x0000_t202" style="position:absolute;margin-left:45pt;margin-top:640.1pt;width:423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" filled="f" stroked="f">
                <v:path arrowok="t"/>
                <v:textbox>
                  <w:txbxContent>
                    <w:p w:rsidR="00F616AD" w:rsidRPr="007B4F82" w:rsidRDefault="00F616AD" w:rsidP="00F616AD">
                      <w:pPr>
                        <w:ind w:left="4248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Book" w:hAnsi="Futura Std Book"/>
                          <w:color w:val="7F7F7F"/>
                          <w:sz w:val="28"/>
                          <w:szCs w:val="28"/>
                        </w:rPr>
                        <w:t>Oficina de Control Interno</w:t>
                      </w:r>
                      <w:r w:rsidRPr="007B4F82">
                        <w:rPr>
                          <w:rFonts w:ascii="Futura Std Book" w:hAnsi="Futura Std Book"/>
                          <w:color w:val="7F7F7F"/>
                          <w:sz w:val="28"/>
                          <w:szCs w:val="28"/>
                        </w:rPr>
                        <w:br/>
                      </w:r>
                      <w:r w:rsidRPr="003C100B">
                        <w:rPr>
                          <w:rFonts w:ascii="Futura Std Book" w:hAnsi="Futura Std Book"/>
                          <w:color w:val="7F7F7F"/>
                        </w:rPr>
                        <w:t>Bogotá, Agosto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w:drawing>
          <wp:inline distT="0" distB="0" distL="0" distR="0">
            <wp:extent cx="7858125" cy="10172700"/>
            <wp:effectExtent l="0" t="0" r="952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5143500</wp:posOffset>
                </wp:positionV>
                <wp:extent cx="4572000" cy="800100"/>
                <wp:effectExtent l="0" t="0" r="0" b="0"/>
                <wp:wrapSquare wrapText="bothSides"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F616AD" w:rsidRPr="007B4F82" w:rsidRDefault="00F616AD" w:rsidP="00F616AD">
                            <w:pPr>
                              <w:jc w:val="right"/>
                              <w:rPr>
                                <w:rFonts w:ascii="Futura Std Book" w:hAnsi="Futura Std Book"/>
                                <w:color w:val="7F7F7F"/>
                                <w:sz w:val="36"/>
                                <w:szCs w:val="36"/>
                              </w:rPr>
                            </w:pPr>
                          </w:p>
                          <w:p w:rsidR="00F616AD" w:rsidRPr="007B4F82" w:rsidRDefault="00F616AD" w:rsidP="00F616AD">
                            <w:pPr>
                              <w:jc w:val="right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  <w:t>Periodo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uadro de texto 25" o:spid="_x0000_s1028" type="#_x0000_t202" style="position:absolute;margin-left:117pt;margin-top:405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" filled="f" stroked="f">
                <v:path arrowok="t"/>
                <v:textbox>
                  <w:txbxContent>
                    <w:p w:rsidR="00F616AD" w:rsidRPr="007B4F82" w:rsidRDefault="00F616AD" w:rsidP="00F616AD">
                      <w:pPr>
                        <w:jc w:val="right"/>
                        <w:rPr>
                          <w:rFonts w:ascii="Futura Std Book" w:hAnsi="Futura Std Book"/>
                          <w:color w:val="7F7F7F"/>
                          <w:sz w:val="36"/>
                          <w:szCs w:val="36"/>
                        </w:rPr>
                      </w:pPr>
                    </w:p>
                    <w:p w:rsidR="00F616AD" w:rsidRPr="007B4F82" w:rsidRDefault="00F616AD" w:rsidP="00F616AD">
                      <w:pPr>
                        <w:jc w:val="right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  <w:t>Periodo 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397A" w:rsidRDefault="008F397A" w:rsidP="0082410D">
      <w:pPr>
        <w:jc w:val="center"/>
        <w:rPr>
          <w:b/>
          <w:sz w:val="28"/>
          <w:szCs w:val="28"/>
        </w:rPr>
      </w:pPr>
    </w:p>
    <w:p w:rsidR="008F397A" w:rsidRPr="008F397A" w:rsidRDefault="008F397A" w:rsidP="008F397A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</w:pPr>
      <w:r w:rsidRPr="008F397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INFORME DE AUDITORIA - EVALUACIÓN A LA GESTIÓN</w:t>
      </w:r>
    </w:p>
    <w:p w:rsidR="008F397A" w:rsidRPr="008F397A" w:rsidRDefault="008F397A" w:rsidP="008F397A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</w:pPr>
      <w:r w:rsidRPr="008F397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 xml:space="preserve">DIRECCIÓN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 xml:space="preserve">JURÍDICA </w:t>
      </w:r>
    </w:p>
    <w:p w:rsidR="00306902" w:rsidRDefault="00306902" w:rsidP="0082410D">
      <w:pPr>
        <w:jc w:val="center"/>
        <w:rPr>
          <w:b/>
          <w:sz w:val="28"/>
          <w:szCs w:val="28"/>
        </w:rPr>
      </w:pPr>
    </w:p>
    <w:p w:rsidR="0082410D" w:rsidRDefault="008D6BC8" w:rsidP="0082410D">
      <w:pPr>
        <w:jc w:val="both"/>
      </w:pPr>
      <w:r>
        <w:t>La Oficina de Control Interno pre</w:t>
      </w:r>
      <w:r w:rsidR="0082410D">
        <w:t xml:space="preserve">senta los resultados </w:t>
      </w:r>
      <w:r>
        <w:t xml:space="preserve">producto de </w:t>
      </w:r>
      <w:r w:rsidR="0082410D">
        <w:t>la Auditoria de Gestión</w:t>
      </w:r>
      <w:r>
        <w:t>,</w:t>
      </w:r>
      <w:r w:rsidR="0082410D">
        <w:t xml:space="preserve"> efectuada a la Dirección Jurídica de</w:t>
      </w:r>
      <w:r w:rsidR="00FB6196">
        <w:t xml:space="preserve"> </w:t>
      </w:r>
      <w:r w:rsidR="0082410D">
        <w:t>l</w:t>
      </w:r>
      <w:r w:rsidR="00FB6196">
        <w:t xml:space="preserve">a </w:t>
      </w:r>
      <w:r w:rsidR="0082410D">
        <w:t>Función Pública</w:t>
      </w:r>
      <w:r>
        <w:t xml:space="preserve"> para el periodo </w:t>
      </w:r>
      <w:r w:rsidR="0082410D">
        <w:t>enero – junio de 2015.</w:t>
      </w:r>
    </w:p>
    <w:p w:rsidR="000C082A" w:rsidRDefault="008D6BC8" w:rsidP="0082410D">
      <w:pPr>
        <w:jc w:val="both"/>
      </w:pPr>
      <w:r>
        <w:t xml:space="preserve">Para el presente informe se ha aplicado una nueva herramienta </w:t>
      </w:r>
      <w:r w:rsidR="0082410D">
        <w:t xml:space="preserve">en desarrollo del Proyecto </w:t>
      </w:r>
      <w:r>
        <w:t xml:space="preserve">a cargo de </w:t>
      </w:r>
      <w:r w:rsidR="000C082A">
        <w:t xml:space="preserve">ésta </w:t>
      </w:r>
      <w:r>
        <w:t>Oficina</w:t>
      </w:r>
      <w:r w:rsidR="000C082A">
        <w:t xml:space="preserve">, </w:t>
      </w:r>
      <w:r>
        <w:t>denominado</w:t>
      </w:r>
      <w:r w:rsidR="0082410D">
        <w:t xml:space="preserve"> “Realizar diagnóstico de herramientas que permitan optimizar la gestión de la oficina de control interno”</w:t>
      </w:r>
      <w:r w:rsidR="000C082A">
        <w:t>.</w:t>
      </w:r>
    </w:p>
    <w:p w:rsidR="00F40526" w:rsidRDefault="000C082A" w:rsidP="0082410D">
      <w:pPr>
        <w:jc w:val="both"/>
      </w:pPr>
      <w:r>
        <w:t>Con base en lo anterior</w:t>
      </w:r>
      <w:r w:rsidR="001B5BF2">
        <w:t xml:space="preserve">, </w:t>
      </w:r>
      <w:r>
        <w:t xml:space="preserve">a continuación </w:t>
      </w:r>
      <w:r w:rsidR="0082410D">
        <w:t xml:space="preserve">se </w:t>
      </w:r>
      <w:r>
        <w:t xml:space="preserve">desarrollan </w:t>
      </w:r>
      <w:r w:rsidR="0082410D">
        <w:t xml:space="preserve">cada uno de los </w:t>
      </w:r>
      <w:r w:rsidR="00E44FF7">
        <w:t>ítems</w:t>
      </w:r>
      <w:r w:rsidR="0082410D">
        <w:t xml:space="preserve"> evaluados</w:t>
      </w:r>
      <w:r w:rsidR="00F40526">
        <w:t>:</w:t>
      </w:r>
    </w:p>
    <w:p w:rsidR="006A518A" w:rsidRDefault="006A518A" w:rsidP="0082410D">
      <w:pPr>
        <w:jc w:val="both"/>
        <w:rPr>
          <w:b/>
        </w:rPr>
      </w:pPr>
      <w:r w:rsidRPr="006A518A">
        <w:rPr>
          <w:b/>
        </w:rPr>
        <w:t>1.- PRESUPUESTO</w:t>
      </w:r>
    </w:p>
    <w:p w:rsidR="000C082A" w:rsidRDefault="000C082A" w:rsidP="0082410D">
      <w:pPr>
        <w:jc w:val="both"/>
      </w:pPr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971550</wp:posOffset>
            </wp:positionH>
            <wp:positionV relativeFrom="paragraph">
              <wp:posOffset>9525</wp:posOffset>
            </wp:positionV>
            <wp:extent cx="3895725" cy="1533525"/>
            <wp:effectExtent l="0" t="0" r="9525" b="9525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br w:type="textWrapping" w:clear="all"/>
      </w:r>
    </w:p>
    <w:p w:rsidR="006A518A" w:rsidRDefault="00A563C5" w:rsidP="0082410D">
      <w:pPr>
        <w:jc w:val="both"/>
      </w:pPr>
      <w:r>
        <w:t>Analizados</w:t>
      </w:r>
      <w:r w:rsidR="006A518A" w:rsidRPr="006A518A">
        <w:t xml:space="preserve"> los recursos de inversión asignados a la Dirección Jurídica para la celebración de contratos de prestació</w:t>
      </w:r>
      <w:r w:rsidR="006A518A">
        <w:t xml:space="preserve">n de servicios, </w:t>
      </w:r>
      <w:r>
        <w:t xml:space="preserve">se pudo observar que los </w:t>
      </w:r>
      <w:r w:rsidR="000C082A">
        <w:t>mismos se h</w:t>
      </w:r>
      <w:r>
        <w:t>an ejecutado de acuerdo con lo programado</w:t>
      </w:r>
      <w:r w:rsidR="006A518A">
        <w:t>, lo que arroja un porcentaje de cumplimiento del 100%.</w:t>
      </w:r>
    </w:p>
    <w:p w:rsidR="008F74CA" w:rsidRDefault="006A518A" w:rsidP="0082410D">
      <w:pPr>
        <w:jc w:val="both"/>
        <w:rPr>
          <w:b/>
        </w:rPr>
      </w:pPr>
      <w:r w:rsidRPr="006A518A">
        <w:rPr>
          <w:b/>
        </w:rPr>
        <w:t>2.- P</w:t>
      </w:r>
      <w:r w:rsidR="008F74CA">
        <w:rPr>
          <w:b/>
        </w:rPr>
        <w:t xml:space="preserve">eticiones, </w:t>
      </w:r>
      <w:r w:rsidRPr="006A518A">
        <w:rPr>
          <w:b/>
        </w:rPr>
        <w:t>Q</w:t>
      </w:r>
      <w:r w:rsidR="008F74CA">
        <w:rPr>
          <w:b/>
        </w:rPr>
        <w:t xml:space="preserve">uejas, </w:t>
      </w:r>
      <w:r w:rsidRPr="006A518A">
        <w:rPr>
          <w:b/>
        </w:rPr>
        <w:t>R</w:t>
      </w:r>
      <w:r w:rsidR="008F74CA">
        <w:rPr>
          <w:b/>
        </w:rPr>
        <w:t>eclamos</w:t>
      </w:r>
      <w:r w:rsidR="00E16A2C">
        <w:rPr>
          <w:b/>
        </w:rPr>
        <w:t xml:space="preserve"> </w:t>
      </w:r>
      <w:r w:rsidR="008F74CA">
        <w:rPr>
          <w:b/>
        </w:rPr>
        <w:t>y Denuncias</w:t>
      </w:r>
    </w:p>
    <w:p w:rsidR="000C082A" w:rsidRDefault="00A266E3" w:rsidP="0082410D">
      <w:pPr>
        <w:jc w:val="both"/>
      </w:pPr>
      <w:r w:rsidRPr="00A266E3">
        <w:rPr>
          <w:noProof/>
          <w:lang w:eastAsia="es-CO"/>
        </w:rPr>
        <w:drawing>
          <wp:inline distT="0" distB="0" distL="0" distR="0" wp14:anchorId="3B0B94B7" wp14:editId="4654FC02">
            <wp:extent cx="5610223" cy="1933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3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2A" w:rsidRDefault="000C7755" w:rsidP="0082410D">
      <w:pPr>
        <w:jc w:val="both"/>
      </w:pPr>
      <w:r w:rsidRPr="000C7755">
        <w:lastRenderedPageBreak/>
        <w:t xml:space="preserve">El porcentaje </w:t>
      </w:r>
      <w:r w:rsidR="000C082A">
        <w:t xml:space="preserve">de calificación </w:t>
      </w:r>
      <w:r w:rsidRPr="000C7755">
        <w:t xml:space="preserve">arrojado por la matriz permite evidenciar el buen manejo al trámite de las peticiones que ingresan a la Dirección Jurídica,  lo cual se </w:t>
      </w:r>
      <w:r w:rsidR="00FC6D54">
        <w:t>denota</w:t>
      </w:r>
      <w:r w:rsidRPr="000C7755">
        <w:t xml:space="preserve"> en la disminución de las respuestas emitidas vencidos los términos de Ley,  frente al primer semestre de 2014 (744</w:t>
      </w:r>
      <w:r w:rsidR="000C082A">
        <w:t xml:space="preserve"> respuestas</w:t>
      </w:r>
      <w:r w:rsidRPr="000C7755">
        <w:t xml:space="preserve">).                                       </w:t>
      </w:r>
    </w:p>
    <w:p w:rsidR="0082410D" w:rsidRPr="000C082A" w:rsidRDefault="000C082A" w:rsidP="0082410D">
      <w:pPr>
        <w:jc w:val="both"/>
        <w:rPr>
          <w:b/>
          <w:i/>
        </w:rPr>
      </w:pPr>
      <w:r w:rsidRPr="000C082A">
        <w:rPr>
          <w:b/>
          <w:i/>
        </w:rPr>
        <w:t xml:space="preserve">La Oficina de Control Interno </w:t>
      </w:r>
      <w:r w:rsidR="000C7755" w:rsidRPr="000C082A">
        <w:rPr>
          <w:b/>
          <w:i/>
        </w:rPr>
        <w:t>sugiere continuar fortaleciendo los controles y acciones establecidas por el área para la mejora continua en el proceso.</w:t>
      </w:r>
    </w:p>
    <w:p w:rsidR="00E50275" w:rsidRDefault="00E50275" w:rsidP="0082410D">
      <w:pPr>
        <w:jc w:val="both"/>
        <w:rPr>
          <w:b/>
        </w:rPr>
      </w:pPr>
      <w:r w:rsidRPr="00E50275">
        <w:rPr>
          <w:b/>
        </w:rPr>
        <w:t xml:space="preserve">3.- </w:t>
      </w:r>
      <w:r>
        <w:rPr>
          <w:b/>
        </w:rPr>
        <w:t>LOGRO DE METAS</w:t>
      </w:r>
      <w:r w:rsidR="00E16A2C">
        <w:rPr>
          <w:b/>
        </w:rPr>
        <w:t xml:space="preserve"> (67,15%)</w:t>
      </w:r>
    </w:p>
    <w:p w:rsidR="00A266E3" w:rsidRPr="004A1D6F" w:rsidRDefault="00A266E3" w:rsidP="0082410D">
      <w:pPr>
        <w:jc w:val="both"/>
        <w:rPr>
          <w:b/>
        </w:rPr>
      </w:pPr>
      <w:r w:rsidRPr="004A1D6F">
        <w:t>El Sistema de Gestión Institucional “SGI” reporta al mes de junio avance del 67,15% porcentaje registrado en la matriz anexa. Es de aclarar que frente a lo planeado por el área (67.15%), el avance es del 100%.</w:t>
      </w:r>
    </w:p>
    <w:p w:rsidR="00E16A2C" w:rsidRDefault="00A563C5" w:rsidP="00E16A2C">
      <w:pPr>
        <w:jc w:val="center"/>
        <w:rPr>
          <w:i/>
        </w:rPr>
      </w:pPr>
      <w:r>
        <w:rPr>
          <w:i/>
          <w:noProof/>
          <w:lang w:eastAsia="es-CO"/>
        </w:rPr>
        <w:drawing>
          <wp:inline distT="0" distB="0" distL="0" distR="0" wp14:anchorId="44EA8CF8" wp14:editId="752ED0F2">
            <wp:extent cx="4086225" cy="1838325"/>
            <wp:effectExtent l="0" t="0" r="952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A3B" w:rsidRDefault="00E92A3B" w:rsidP="00E92A3B">
      <w:r>
        <w:t xml:space="preserve">a) </w:t>
      </w:r>
      <w:r w:rsidRPr="00E92A3B">
        <w:rPr>
          <w:b/>
        </w:rPr>
        <w:t>Proyecto Gestión Normativa:</w:t>
      </w:r>
      <w:r>
        <w:t xml:space="preserve"> Los avances reportados por el área en el aplicativo SGI, guardan </w:t>
      </w:r>
      <w:r w:rsidR="00790668">
        <w:t xml:space="preserve">relación </w:t>
      </w:r>
      <w:r>
        <w:t>con l</w:t>
      </w:r>
      <w:r w:rsidR="00790668">
        <w:t>os soportes suministrados</w:t>
      </w:r>
      <w:r>
        <w:t xml:space="preserve">, observando el cumplimiento de las metas acorde a lo planeado. </w:t>
      </w:r>
    </w:p>
    <w:p w:rsidR="00E92A3B" w:rsidRDefault="00E92A3B" w:rsidP="00790668">
      <w:pPr>
        <w:jc w:val="both"/>
        <w:rPr>
          <w:b/>
        </w:rPr>
      </w:pPr>
      <w:r>
        <w:t xml:space="preserve">b) </w:t>
      </w:r>
      <w:r w:rsidRPr="00E92A3B">
        <w:rPr>
          <w:b/>
        </w:rPr>
        <w:t>Proyecto Consolidación de propuestas normativas en temas estratégicos:</w:t>
      </w:r>
      <w:r>
        <w:t xml:space="preserve"> Revisadas las metas formuladas en el Plan de Acción Anual, no se evidencia coherencia entre los productos a entregar y los productos relacionados en las metas</w:t>
      </w:r>
      <w:r w:rsidR="002A21CF">
        <w:t>, razón</w:t>
      </w:r>
      <w:r w:rsidRPr="002A21CF">
        <w:rPr>
          <w:b/>
        </w:rPr>
        <w:t xml:space="preserve"> por la cual es urgente se replanteen las metas en el aplicativo SGI, con el fin de ajustarlas a los productos reales que ha venido trabajando la Dirección Jurídica.  </w:t>
      </w:r>
    </w:p>
    <w:p w:rsidR="00E50275" w:rsidRDefault="00E50275" w:rsidP="0082410D">
      <w:pPr>
        <w:jc w:val="both"/>
        <w:rPr>
          <w:b/>
        </w:rPr>
      </w:pPr>
      <w:r>
        <w:rPr>
          <w:b/>
        </w:rPr>
        <w:t>4.- PLAN DE MEJORAMIENTO</w:t>
      </w:r>
      <w:r w:rsidR="002A21CF">
        <w:rPr>
          <w:b/>
        </w:rPr>
        <w:t xml:space="preserve"> </w:t>
      </w:r>
    </w:p>
    <w:p w:rsidR="002A21CF" w:rsidRDefault="002A21CF" w:rsidP="00DA3741">
      <w:pPr>
        <w:jc w:val="both"/>
      </w:pPr>
      <w:r>
        <w:rPr>
          <w:noProof/>
          <w:lang w:eastAsia="es-CO"/>
        </w:rPr>
        <w:drawing>
          <wp:inline distT="0" distB="0" distL="0" distR="0" wp14:anchorId="3E84D65D">
            <wp:extent cx="5742940" cy="16033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741" w:rsidRDefault="00DA3741" w:rsidP="00DA3741">
      <w:pPr>
        <w:jc w:val="both"/>
      </w:pPr>
      <w:r w:rsidRPr="00900637">
        <w:lastRenderedPageBreak/>
        <w:t>La Dirección Jurídica registra diecisiete (17) hallazgos en el plan de mejoramiento al mes de ju</w:t>
      </w:r>
      <w:r w:rsidR="002A21CF" w:rsidRPr="00900637">
        <w:t>n</w:t>
      </w:r>
      <w:r w:rsidRPr="00900637">
        <w:t xml:space="preserve">io de 2015, de los cuales once (11) se </w:t>
      </w:r>
      <w:r w:rsidR="00351A1E" w:rsidRPr="00900637">
        <w:t>encuentran</w:t>
      </w:r>
      <w:r w:rsidRPr="00900637">
        <w:t xml:space="preserve"> en ejecución (abiertos)</w:t>
      </w:r>
      <w:r w:rsidR="002A21CF" w:rsidRPr="00900637">
        <w:t>, es importante anotar que n</w:t>
      </w:r>
      <w:r w:rsidRPr="00900637">
        <w:t>ueve (9) de dichos hallazgos fueron identificados como resultado de la auditoria interna de calidad llevada a cabo en el mes de mayo de la presente vigencia</w:t>
      </w:r>
      <w:r w:rsidR="002A21CF" w:rsidRPr="00900637">
        <w:t xml:space="preserve"> (E</w:t>
      </w:r>
      <w:r w:rsidRPr="00900637">
        <w:t>jecución y cumplimiento</w:t>
      </w:r>
      <w:r w:rsidR="002A21CF" w:rsidRPr="00900637">
        <w:t xml:space="preserve"> </w:t>
      </w:r>
      <w:r w:rsidRPr="00900637">
        <w:t>para el segundo semestre</w:t>
      </w:r>
      <w:r w:rsidR="002A21CF" w:rsidRPr="00900637">
        <w:t>)</w:t>
      </w:r>
      <w:r w:rsidRPr="00900637">
        <w:t>.</w:t>
      </w:r>
      <w:r>
        <w:t xml:space="preserve"> </w:t>
      </w:r>
    </w:p>
    <w:p w:rsidR="00351A1E" w:rsidRDefault="00286D58" w:rsidP="00DA3741">
      <w:pPr>
        <w:jc w:val="both"/>
      </w:pPr>
      <w:r>
        <w:t xml:space="preserve">La </w:t>
      </w:r>
      <w:r w:rsidR="00DA3741">
        <w:t xml:space="preserve">matriz califica con base en los hallazgos </w:t>
      </w:r>
      <w:r w:rsidR="00351A1E">
        <w:t>cerrados</w:t>
      </w:r>
      <w:r w:rsidR="00DA3741">
        <w:t xml:space="preserve">, </w:t>
      </w:r>
      <w:r w:rsidR="00351A1E">
        <w:t>razón</w:t>
      </w:r>
      <w:r w:rsidR="00DA3741">
        <w:t xml:space="preserve"> por la cual la Dirección </w:t>
      </w:r>
      <w:r w:rsidR="00351A1E">
        <w:t>Jurídica</w:t>
      </w:r>
      <w:r w:rsidR="00DA3741">
        <w:t xml:space="preserve"> obtuvo un bajo porcentaje, sin que eso implique una indebida gestión por parte de</w:t>
      </w:r>
      <w:r w:rsidR="006E0BB0">
        <w:t>l área</w:t>
      </w:r>
      <w:r w:rsidR="00DA3741">
        <w:t>.</w:t>
      </w:r>
    </w:p>
    <w:p w:rsidR="00E50275" w:rsidRDefault="00E50275" w:rsidP="0082410D">
      <w:pPr>
        <w:jc w:val="both"/>
        <w:rPr>
          <w:b/>
        </w:rPr>
      </w:pPr>
      <w:r w:rsidRPr="00E50275">
        <w:rPr>
          <w:b/>
        </w:rPr>
        <w:t>5.- INDICADORES</w:t>
      </w:r>
    </w:p>
    <w:p w:rsidR="006E0BB0" w:rsidRPr="00E50275" w:rsidRDefault="00A266E3" w:rsidP="0082410D">
      <w:pPr>
        <w:jc w:val="both"/>
        <w:rPr>
          <w:b/>
        </w:rPr>
      </w:pPr>
      <w:r w:rsidRPr="00A266E3">
        <w:rPr>
          <w:noProof/>
          <w:lang w:eastAsia="es-CO"/>
        </w:rPr>
        <w:drawing>
          <wp:inline distT="0" distB="0" distL="0" distR="0" wp14:anchorId="143D7808" wp14:editId="15328368">
            <wp:extent cx="5612130" cy="2038879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3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A5A" w:rsidRDefault="00900637" w:rsidP="0082410D">
      <w:pPr>
        <w:jc w:val="both"/>
      </w:pPr>
      <w:r w:rsidRPr="00900637">
        <w:t>Se pudo evidenciar que el Grupo de Apoyo Jurídico y Representación Judicial, efectúa mediciones permanentes a los tiempos de respuesta en las diferentes actuaciones procesales,</w:t>
      </w:r>
      <w:r>
        <w:t xml:space="preserve"> obteniendo </w:t>
      </w:r>
      <w:r w:rsidRPr="00900637">
        <w:t xml:space="preserve">como tiempo promedio de respuesta para el primer semestre de 2015, una tendencia aceptable de acuerdo a lo indicado en la ficha publicada en </w:t>
      </w:r>
      <w:proofErr w:type="spellStart"/>
      <w:r w:rsidRPr="00900637">
        <w:t>Calidad_DAFP</w:t>
      </w:r>
      <w:proofErr w:type="spellEnd"/>
      <w:r w:rsidRPr="00900637">
        <w:t xml:space="preserve"> (rangos de porcentaje establecidos).  </w:t>
      </w:r>
    </w:p>
    <w:p w:rsidR="00E50275" w:rsidRDefault="00E50275" w:rsidP="0082410D">
      <w:pPr>
        <w:jc w:val="both"/>
        <w:rPr>
          <w:b/>
        </w:rPr>
      </w:pPr>
      <w:r w:rsidRPr="00E50275">
        <w:rPr>
          <w:b/>
        </w:rPr>
        <w:t>6.- RIESGOS</w:t>
      </w:r>
      <w:r w:rsidR="00860A5B">
        <w:rPr>
          <w:b/>
        </w:rPr>
        <w:t xml:space="preserve"> (49,98%)</w:t>
      </w:r>
    </w:p>
    <w:p w:rsidR="00C74A5A" w:rsidRDefault="00C74A5A" w:rsidP="00C74A5A">
      <w:pPr>
        <w:jc w:val="center"/>
      </w:pPr>
      <w:r>
        <w:rPr>
          <w:noProof/>
          <w:lang w:eastAsia="es-CO"/>
        </w:rPr>
        <w:drawing>
          <wp:inline distT="0" distB="0" distL="0" distR="0">
            <wp:extent cx="3829050" cy="14859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B0" w:rsidRPr="006E0BB0" w:rsidRDefault="006E0BB0" w:rsidP="006E0BB0">
      <w:pPr>
        <w:rPr>
          <w:b/>
          <w:i/>
        </w:rPr>
      </w:pPr>
      <w:r w:rsidRPr="006E0BB0">
        <w:rPr>
          <w:b/>
          <w:i/>
        </w:rPr>
        <w:t xml:space="preserve">Se recomienda la revisión de algunos </w:t>
      </w:r>
      <w:r w:rsidR="00F939D7" w:rsidRPr="006E0BB0">
        <w:rPr>
          <w:b/>
          <w:i/>
        </w:rPr>
        <w:t>controles,</w:t>
      </w:r>
      <w:r w:rsidR="00F939D7">
        <w:rPr>
          <w:b/>
          <w:i/>
        </w:rPr>
        <w:t xml:space="preserve"> en los riesgos denominados </w:t>
      </w:r>
      <w:r w:rsidR="008F74CA">
        <w:rPr>
          <w:b/>
          <w:i/>
        </w:rPr>
        <w:t>“</w:t>
      </w:r>
      <w:r w:rsidR="00F939D7" w:rsidRPr="00F939D7">
        <w:rPr>
          <w:b/>
          <w:i/>
        </w:rPr>
        <w:t>Emisión errónea de conceptos jurídicos</w:t>
      </w:r>
      <w:r w:rsidR="008F74CA">
        <w:rPr>
          <w:b/>
          <w:i/>
        </w:rPr>
        <w:t>”</w:t>
      </w:r>
      <w:r w:rsidR="00F939D7" w:rsidRPr="00F939D7">
        <w:rPr>
          <w:b/>
          <w:i/>
        </w:rPr>
        <w:t xml:space="preserve"> </w:t>
      </w:r>
      <w:r w:rsidR="008F74CA">
        <w:rPr>
          <w:b/>
          <w:i/>
        </w:rPr>
        <w:t>e</w:t>
      </w:r>
      <w:r w:rsidR="008F74CA" w:rsidRPr="00F939D7">
        <w:rPr>
          <w:b/>
          <w:i/>
        </w:rPr>
        <w:t xml:space="preserve"> “</w:t>
      </w:r>
      <w:r w:rsidR="008F74CA">
        <w:rPr>
          <w:b/>
          <w:i/>
        </w:rPr>
        <w:t>I</w:t>
      </w:r>
      <w:r w:rsidR="00F939D7" w:rsidRPr="00F939D7">
        <w:rPr>
          <w:b/>
          <w:i/>
        </w:rPr>
        <w:t>ncumplimiento de los términos de respuesta</w:t>
      </w:r>
      <w:r w:rsidR="008F74CA">
        <w:rPr>
          <w:b/>
          <w:i/>
        </w:rPr>
        <w:t>”</w:t>
      </w:r>
      <w:r w:rsidRPr="006E0BB0">
        <w:rPr>
          <w:b/>
          <w:i/>
        </w:rPr>
        <w:t>, con el fin de ajustarlos a las actividades que se reportan en el seguimiento mensual.</w:t>
      </w:r>
    </w:p>
    <w:p w:rsidR="006E0BB0" w:rsidRDefault="006E0BB0" w:rsidP="006E0BB0">
      <w:pPr>
        <w:rPr>
          <w:b/>
          <w:i/>
        </w:rPr>
      </w:pPr>
      <w:r w:rsidRPr="006E0BB0">
        <w:rPr>
          <w:b/>
          <w:i/>
        </w:rPr>
        <w:lastRenderedPageBreak/>
        <w:t>De otra parte no se encontró seguimiento a los riesgos en el mes de abril, por lo cual se sugiere a la Dirección Jurídica, efectuar el mismo mensualmente a través del aplicativo SGI.</w:t>
      </w:r>
    </w:p>
    <w:p w:rsidR="003A6B6E" w:rsidRDefault="008F74CA" w:rsidP="003A6B6E">
      <w:pPr>
        <w:pStyle w:val="Ttulo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Para concluir </w:t>
      </w:r>
      <w:r w:rsidR="00F939D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en el </w:t>
      </w:r>
      <w:r w:rsidR="007976E3" w:rsidRPr="007976E3">
        <w:rPr>
          <w:rFonts w:asciiTheme="minorHAnsi" w:eastAsiaTheme="minorHAnsi" w:hAnsiTheme="minorHAnsi" w:cstheme="minorBidi"/>
          <w:color w:val="auto"/>
          <w:sz w:val="22"/>
          <w:szCs w:val="22"/>
        </w:rPr>
        <w:t>siguiente cuadro</w:t>
      </w:r>
      <w:r w:rsidR="00F939D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se </w:t>
      </w:r>
      <w:r w:rsidRPr="007976E3">
        <w:rPr>
          <w:rFonts w:asciiTheme="minorHAnsi" w:eastAsiaTheme="minorHAnsi" w:hAnsiTheme="minorHAnsi" w:cstheme="minorBidi"/>
          <w:color w:val="auto"/>
          <w:sz w:val="22"/>
          <w:szCs w:val="22"/>
        </w:rPr>
        <w:t>muestran</w:t>
      </w:r>
      <w:r w:rsidR="007976E3" w:rsidRPr="007976E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 manera consolidada los resultados antes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detallados.</w:t>
      </w:r>
    </w:p>
    <w:p w:rsidR="000C082A" w:rsidRDefault="00A266E3" w:rsidP="000C082A">
      <w:pPr>
        <w:jc w:val="center"/>
      </w:pPr>
      <w:r w:rsidRPr="00A266E3">
        <w:rPr>
          <w:noProof/>
          <w:lang w:eastAsia="es-CO"/>
        </w:rPr>
        <w:drawing>
          <wp:inline distT="0" distB="0" distL="0" distR="0" wp14:anchorId="0AD0FC4F" wp14:editId="0E6C149B">
            <wp:extent cx="5610224" cy="13811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8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2A" w:rsidRDefault="00A266E3" w:rsidP="000C082A">
      <w:pPr>
        <w:jc w:val="center"/>
      </w:pPr>
      <w:r w:rsidRPr="00A266E3">
        <w:rPr>
          <w:noProof/>
          <w:lang w:eastAsia="es-CO"/>
        </w:rPr>
        <w:drawing>
          <wp:inline distT="0" distB="0" distL="0" distR="0">
            <wp:extent cx="5486400" cy="17145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CA" w:rsidRDefault="008F74CA" w:rsidP="00C74A5A">
      <w:pPr>
        <w:jc w:val="both"/>
      </w:pPr>
      <w:r>
        <w:t xml:space="preserve">Como complemento al informe se anexa </w:t>
      </w:r>
      <w:r w:rsidRPr="008F74CA">
        <w:t xml:space="preserve">Matriz de evaluación en </w:t>
      </w:r>
      <w:r>
        <w:t xml:space="preserve">Excel, que contiene de manera detallada los ítems evaluados por la Oficina de Control Interno. </w:t>
      </w:r>
    </w:p>
    <w:p w:rsidR="008F74CA" w:rsidRDefault="008F74CA" w:rsidP="00C74A5A">
      <w:pPr>
        <w:jc w:val="both"/>
      </w:pPr>
    </w:p>
    <w:p w:rsidR="00A266E3" w:rsidRDefault="00A266E3" w:rsidP="00C74A5A">
      <w:pPr>
        <w:jc w:val="both"/>
      </w:pPr>
    </w:p>
    <w:p w:rsidR="00415D24" w:rsidRDefault="00415D24" w:rsidP="00415D24">
      <w:pPr>
        <w:spacing w:after="0"/>
        <w:jc w:val="both"/>
      </w:pPr>
      <w:r>
        <w:t>LUZ STELLA PATIÑO JURADO</w:t>
      </w:r>
    </w:p>
    <w:p w:rsidR="0082410D" w:rsidRDefault="00415D24" w:rsidP="008F74CA">
      <w:pPr>
        <w:spacing w:after="0"/>
        <w:jc w:val="both"/>
      </w:pPr>
      <w:r>
        <w:t>Jefe Oficina de Control Interno</w:t>
      </w:r>
    </w:p>
    <w:p w:rsidR="00A266E3" w:rsidRDefault="00A266E3" w:rsidP="008F74CA">
      <w:pPr>
        <w:spacing w:after="0"/>
        <w:jc w:val="both"/>
      </w:pPr>
    </w:p>
    <w:p w:rsidR="00A266E3" w:rsidRPr="00A266E3" w:rsidRDefault="00A266E3" w:rsidP="008F74CA">
      <w:pPr>
        <w:spacing w:after="0"/>
        <w:jc w:val="both"/>
        <w:rPr>
          <w:sz w:val="16"/>
          <w:szCs w:val="16"/>
        </w:rPr>
      </w:pPr>
      <w:r w:rsidRPr="00A266E3">
        <w:rPr>
          <w:sz w:val="16"/>
          <w:szCs w:val="16"/>
        </w:rPr>
        <w:t>Elaboro: Johanna Marcela Sánchez Parra</w:t>
      </w:r>
    </w:p>
    <w:p w:rsidR="00A266E3" w:rsidRPr="008F74CA" w:rsidRDefault="003D49D0" w:rsidP="003D49D0">
      <w:pPr>
        <w:tabs>
          <w:tab w:val="left" w:pos="6038"/>
        </w:tabs>
        <w:spacing w:after="0"/>
        <w:jc w:val="both"/>
      </w:pPr>
      <w:r>
        <w:tab/>
      </w:r>
    </w:p>
    <w:sectPr w:rsidR="00A266E3" w:rsidRPr="008F74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4A" w:rsidRDefault="00E14B4A" w:rsidP="00790668">
      <w:pPr>
        <w:spacing w:after="0" w:line="240" w:lineRule="auto"/>
      </w:pPr>
      <w:r>
        <w:separator/>
      </w:r>
    </w:p>
  </w:endnote>
  <w:endnote w:type="continuationSeparator" w:id="0">
    <w:p w:rsidR="00E14B4A" w:rsidRDefault="00E14B4A" w:rsidP="0079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ld">
    <w:altName w:val="Segoe UI Semibold"/>
    <w:charset w:val="00"/>
    <w:family w:val="auto"/>
    <w:pitch w:val="variable"/>
    <w:sig w:usb0="00000003" w:usb1="4000204A" w:usb2="00000000" w:usb3="00000000" w:csb0="00000001" w:csb1="00000000"/>
  </w:font>
  <w:font w:name="Futura Std Medium Oblique">
    <w:altName w:val="Vrinda"/>
    <w:charset w:val="00"/>
    <w:family w:val="auto"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4A" w:rsidRDefault="00E14B4A" w:rsidP="00790668">
      <w:pPr>
        <w:spacing w:after="0" w:line="240" w:lineRule="auto"/>
      </w:pPr>
      <w:r>
        <w:separator/>
      </w:r>
    </w:p>
  </w:footnote>
  <w:footnote w:type="continuationSeparator" w:id="0">
    <w:p w:rsidR="00E14B4A" w:rsidRDefault="00E14B4A" w:rsidP="00790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0D"/>
    <w:rsid w:val="000C082A"/>
    <w:rsid w:val="000C2115"/>
    <w:rsid w:val="000C7755"/>
    <w:rsid w:val="0012132E"/>
    <w:rsid w:val="00176462"/>
    <w:rsid w:val="001B4B0E"/>
    <w:rsid w:val="001B5BF2"/>
    <w:rsid w:val="001D1687"/>
    <w:rsid w:val="002173A5"/>
    <w:rsid w:val="00255BB9"/>
    <w:rsid w:val="00286D58"/>
    <w:rsid w:val="002A06BB"/>
    <w:rsid w:val="002A21CF"/>
    <w:rsid w:val="002C5659"/>
    <w:rsid w:val="00306902"/>
    <w:rsid w:val="003456F5"/>
    <w:rsid w:val="00351A1E"/>
    <w:rsid w:val="003A6B6E"/>
    <w:rsid w:val="003D49D0"/>
    <w:rsid w:val="00415D24"/>
    <w:rsid w:val="004A1D6F"/>
    <w:rsid w:val="004F65A1"/>
    <w:rsid w:val="00511E47"/>
    <w:rsid w:val="00580EB9"/>
    <w:rsid w:val="00661EF2"/>
    <w:rsid w:val="006A518A"/>
    <w:rsid w:val="006E0BB0"/>
    <w:rsid w:val="00746D47"/>
    <w:rsid w:val="00790668"/>
    <w:rsid w:val="007976E3"/>
    <w:rsid w:val="0082410D"/>
    <w:rsid w:val="00834AAC"/>
    <w:rsid w:val="00860A5B"/>
    <w:rsid w:val="008C1A06"/>
    <w:rsid w:val="008D22D3"/>
    <w:rsid w:val="008D383B"/>
    <w:rsid w:val="008D6BC8"/>
    <w:rsid w:val="008F397A"/>
    <w:rsid w:val="008F74CA"/>
    <w:rsid w:val="00900637"/>
    <w:rsid w:val="00954740"/>
    <w:rsid w:val="00A266E3"/>
    <w:rsid w:val="00A563C5"/>
    <w:rsid w:val="00A65D13"/>
    <w:rsid w:val="00B25AC7"/>
    <w:rsid w:val="00BD1404"/>
    <w:rsid w:val="00C74A5A"/>
    <w:rsid w:val="00CB42E3"/>
    <w:rsid w:val="00CE184D"/>
    <w:rsid w:val="00DA3741"/>
    <w:rsid w:val="00E14B4A"/>
    <w:rsid w:val="00E16A2C"/>
    <w:rsid w:val="00E44FF7"/>
    <w:rsid w:val="00E50275"/>
    <w:rsid w:val="00E92A3B"/>
    <w:rsid w:val="00F40526"/>
    <w:rsid w:val="00F616AD"/>
    <w:rsid w:val="00F939D7"/>
    <w:rsid w:val="00F97B20"/>
    <w:rsid w:val="00FB6196"/>
    <w:rsid w:val="00FC6D54"/>
    <w:rsid w:val="00FD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6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668"/>
  </w:style>
  <w:style w:type="paragraph" w:styleId="Piedepgina">
    <w:name w:val="footer"/>
    <w:basedOn w:val="Normal"/>
    <w:link w:val="Piedepgina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668"/>
  </w:style>
  <w:style w:type="character" w:customStyle="1" w:styleId="Ttulo2Car">
    <w:name w:val="Título 2 Car"/>
    <w:basedOn w:val="Fuentedeprrafopredeter"/>
    <w:link w:val="Ttulo2"/>
    <w:uiPriority w:val="9"/>
    <w:rsid w:val="003A6B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6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668"/>
  </w:style>
  <w:style w:type="paragraph" w:styleId="Piedepgina">
    <w:name w:val="footer"/>
    <w:basedOn w:val="Normal"/>
    <w:link w:val="Piedepgina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668"/>
  </w:style>
  <w:style w:type="character" w:customStyle="1" w:styleId="Ttulo2Car">
    <w:name w:val="Título 2 Car"/>
    <w:basedOn w:val="Fuentedeprrafopredeter"/>
    <w:link w:val="Ttulo2"/>
    <w:uiPriority w:val="9"/>
    <w:rsid w:val="003A6B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719641401792988E-2"/>
          <c:y val="0.13250517598343686"/>
          <c:w val="0.92828035859820701"/>
          <c:h val="0.716784532368236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Presupuesto!$F$3:$F$4</c:f>
              <c:strCache>
                <c:ptCount val="1"/>
                <c:pt idx="0">
                  <c:v>DIRECCIÓN JURIDICA Porcentaje  Inversión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Presupuesto!$D$13</c:f>
              <c:strCache>
                <c:ptCount val="1"/>
                <c:pt idx="0">
                  <c:v>Calificación de la ejecución presupuestal </c:v>
                </c:pt>
              </c:strCache>
            </c:strRef>
          </c:cat>
          <c:val>
            <c:numRef>
              <c:f>Presupuesto!$F$13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800512"/>
        <c:axId val="139592832"/>
      </c:barChart>
      <c:catAx>
        <c:axId val="11680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39592832"/>
        <c:crosses val="autoZero"/>
        <c:auto val="1"/>
        <c:lblAlgn val="ctr"/>
        <c:lblOffset val="100"/>
        <c:noMultiLvlLbl val="0"/>
      </c:catAx>
      <c:valAx>
        <c:axId val="13959283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16800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Marcela Sanchez Parra</dc:creator>
  <cp:lastModifiedBy>Carmenza Alarcon Mendoza</cp:lastModifiedBy>
  <cp:revision>2</cp:revision>
  <dcterms:created xsi:type="dcterms:W3CDTF">2018-06-14T21:37:00Z</dcterms:created>
  <dcterms:modified xsi:type="dcterms:W3CDTF">2018-06-14T21:37:00Z</dcterms:modified>
</cp:coreProperties>
</file>